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media/image1.png" ContentType="image/png"/>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sz w:val="22"/>
          <w:sz w:val="22"/>
          <w:szCs w:val="22"/>
          <w:rFonts w:ascii="Times New Roman" w:hAnsi="Times New Roman" w:eastAsia="Calibri" w:cs=""/>
          <w:color w:val="00000A"/>
          <w:lang w:val="pt-BR" w:eastAsia="en-US" w:bidi="ar-SA"/>
        </w:rPr>
      </w:pPr>
      <w:r>
        <w:rPr>
          <w:rFonts w:ascii="Times New Roman" w:hAnsi="Times New Roman"/>
        </w:rPr>
        <w:drawing>
          <wp:anchor behindDoc="1" distT="0" distB="0" distL="0" distR="0" simplePos="0" locked="0" layoutInCell="1" allowOverlap="1" relativeHeight="2">
            <wp:simplePos x="0" y="0"/>
            <wp:positionH relativeFrom="column">
              <wp:posOffset>-211455</wp:posOffset>
            </wp:positionH>
            <wp:positionV relativeFrom="paragraph">
              <wp:posOffset>-1067435</wp:posOffset>
            </wp:positionV>
            <wp:extent cx="8868410" cy="1769110"/>
            <wp:effectExtent l="0" t="0" r="0" b="0"/>
            <wp:wrapNone/>
            <wp:docPr id="1"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
                    <pic:cNvPicPr>
                      <a:picLocks noChangeAspect="1" noChangeArrowheads="1"/>
                    </pic:cNvPicPr>
                  </pic:nvPicPr>
                  <pic:blipFill>
                    <a:blip r:embed="rId2"/>
                    <a:stretch>
                      <a:fillRect/>
                    </a:stretch>
                  </pic:blipFill>
                  <pic:spPr bwMode="auto">
                    <a:xfrm>
                      <a:off x="0" y="0"/>
                      <a:ext cx="8868410" cy="1769110"/>
                    </a:xfrm>
                    <a:prstGeom prst="rect">
                      <a:avLst/>
                    </a:prstGeom>
                    <a:noFill/>
                    <a:ln w="9525">
                      <a:noFill/>
                      <a:miter lim="800000"/>
                      <a:headEnd/>
                      <a:tailEnd/>
                    </a:ln>
                  </pic:spPr>
                </pic:pic>
              </a:graphicData>
            </a:graphic>
          </wp:anchor>
        </w:drawing>
      </w:r>
      <w:r/>
    </w:p>
    <w:p>
      <w:pPr>
        <w:pStyle w:val="Normal"/>
        <w:jc w:val="both"/>
        <w:rPr>
          <w:sz w:val="20"/>
          <w:sz w:val="20"/>
          <w:szCs w:val="20"/>
          <w:rFonts w:ascii="Times New Roman" w:hAnsi="Times New Roman" w:eastAsia="Calibri" w:cs=""/>
          <w:color w:val="00000A"/>
          <w:lang w:val="pt-BR" w:eastAsia="en-US" w:bidi="ar-SA"/>
        </w:rPr>
      </w:pPr>
      <w:r>
        <w:rPr>
          <w:rFonts w:ascii="Times New Roman" w:hAnsi="Times New Roman"/>
          <w:sz w:val="20"/>
          <w:szCs w:val="20"/>
        </w:rPr>
      </w:r>
      <w:r/>
    </w:p>
    <w:tbl>
      <w:tblPr>
        <w:tblStyle w:val="GradeClara"/>
        <w:tblW w:w="15195" w:type="dxa"/>
        <w:jc w:val="left"/>
        <w:tblInd w:w="-1187" w:type="dxa"/>
        <w:tblBorders>
          <w:bottom w:val="single" w:sz="18" w:space="0" w:color="000001"/>
          <w:insideH w:val="single" w:sz="18" w:space="0" w:color="000001"/>
        </w:tblBorders>
        <w:tblCellMar>
          <w:top w:w="0" w:type="dxa"/>
          <w:left w:w="-10" w:type="dxa"/>
          <w:bottom w:w="0" w:type="dxa"/>
          <w:right w:w="108" w:type="dxa"/>
        </w:tblCellMar>
      </w:tblPr>
      <w:tblGrid>
        <w:gridCol w:w="2115"/>
        <w:gridCol w:w="1469"/>
        <w:gridCol w:w="1919"/>
        <w:gridCol w:w="3554"/>
        <w:gridCol w:w="6138"/>
      </w:tblGrid>
      <w:tr>
        <w:trPr>
          <w:trHeight w:val="131" w:hRule="atLeast"/>
        </w:trPr>
        <w:tc>
          <w:tcPr>
            <w:tcW w:w="2115" w:type="dxa"/>
            <w:tcBorders>
              <w:bottom w:val="single" w:sz="18" w:space="0" w:color="000001"/>
              <w:insideH w:val="single" w:sz="18" w:space="0" w:color="000001"/>
            </w:tcBorders>
            <w:shd w:color="auto" w:fill="auto" w:val="clear"/>
            <w:tcMar>
              <w:left w:w="-10" w:type="dxa"/>
            </w:tcMar>
          </w:tcPr>
          <w:p>
            <w:pPr>
              <w:pStyle w:val="Normal"/>
              <w:spacing w:lineRule="auto" w:line="240" w:before="0" w:after="0"/>
              <w:jc w:val="center"/>
              <w:rPr>
                <w:sz w:val="20"/>
                <w:sz w:val="20"/>
                <w:szCs w:val="20"/>
                <w:rFonts w:eastAsia="Times New Roman" w:cs="Times New Roman"/>
                <w:lang w:eastAsia="pt-BR"/>
              </w:rPr>
            </w:pPr>
            <w:r>
              <w:rPr>
                <w:rFonts w:eastAsia="Times New Roman" w:cs="Times New Roman" w:ascii="Times New Roman" w:hAnsi="Times New Roman"/>
                <w:b/>
                <w:bCs/>
                <w:sz w:val="24"/>
                <w:szCs w:val="20"/>
                <w:lang w:eastAsia="pt-BR"/>
              </w:rPr>
              <w:t>NOME DO PROJETO</w:t>
            </w:r>
            <w:r/>
          </w:p>
        </w:tc>
        <w:tc>
          <w:tcPr>
            <w:tcW w:w="1469" w:type="dxa"/>
            <w:tcBorders>
              <w:bottom w:val="single" w:sz="18" w:space="0" w:color="000001"/>
              <w:insideH w:val="single" w:sz="18" w:space="0" w:color="000001"/>
            </w:tcBorders>
            <w:shd w:color="auto" w:fill="auto" w:val="clear"/>
            <w:tcMar>
              <w:left w:w="-10" w:type="dxa"/>
            </w:tcMar>
          </w:tcPr>
          <w:p>
            <w:pPr>
              <w:pStyle w:val="Normal"/>
              <w:spacing w:lineRule="auto" w:line="240" w:before="0" w:after="0"/>
              <w:jc w:val="center"/>
              <w:rPr>
                <w:sz w:val="20"/>
                <w:sz w:val="20"/>
                <w:szCs w:val="20"/>
                <w:rFonts w:eastAsia="Times New Roman" w:cs="Times New Roman"/>
                <w:lang w:eastAsia="pt-BR"/>
              </w:rPr>
            </w:pPr>
            <w:r>
              <w:rPr>
                <w:rFonts w:eastAsia="Times New Roman" w:cs="Times New Roman" w:ascii="Times New Roman" w:hAnsi="Times New Roman"/>
                <w:b/>
                <w:bCs/>
                <w:sz w:val="24"/>
                <w:szCs w:val="20"/>
                <w:lang w:eastAsia="pt-BR"/>
              </w:rPr>
              <w:t>Municípios</w:t>
            </w:r>
            <w:r/>
          </w:p>
        </w:tc>
        <w:tc>
          <w:tcPr>
            <w:tcW w:w="1919" w:type="dxa"/>
            <w:tcBorders>
              <w:bottom w:val="single" w:sz="18" w:space="0" w:color="000001"/>
              <w:insideH w:val="single" w:sz="18" w:space="0" w:color="000001"/>
            </w:tcBorders>
            <w:shd w:color="auto" w:fill="auto" w:val="clear"/>
            <w:tcMar>
              <w:left w:w="-10" w:type="dxa"/>
            </w:tcMar>
          </w:tcPr>
          <w:p>
            <w:pPr>
              <w:pStyle w:val="Normal"/>
              <w:spacing w:lineRule="auto" w:line="240" w:before="0" w:after="0"/>
              <w:jc w:val="center"/>
              <w:rPr>
                <w:sz w:val="20"/>
                <w:sz w:val="20"/>
                <w:szCs w:val="20"/>
                <w:rFonts w:eastAsia="Times New Roman" w:cs="Times New Roman"/>
                <w:lang w:eastAsia="pt-BR"/>
              </w:rPr>
            </w:pPr>
            <w:r>
              <w:rPr>
                <w:rFonts w:eastAsia="Times New Roman" w:cs="Times New Roman" w:ascii="Times New Roman" w:hAnsi="Times New Roman"/>
                <w:b/>
                <w:bCs/>
                <w:sz w:val="24"/>
                <w:szCs w:val="20"/>
                <w:lang w:eastAsia="pt-BR"/>
              </w:rPr>
              <w:t>Taxa de reincidência</w:t>
            </w:r>
            <w:r/>
          </w:p>
        </w:tc>
        <w:tc>
          <w:tcPr>
            <w:tcW w:w="3554" w:type="dxa"/>
            <w:tcBorders>
              <w:bottom w:val="single" w:sz="18" w:space="0" w:color="000001"/>
              <w:insideH w:val="single" w:sz="18" w:space="0" w:color="000001"/>
            </w:tcBorders>
            <w:shd w:color="auto" w:fill="auto" w:val="clear"/>
            <w:tcMar>
              <w:left w:w="-10" w:type="dxa"/>
            </w:tcMar>
          </w:tcPr>
          <w:p>
            <w:pPr>
              <w:pStyle w:val="Normal"/>
              <w:spacing w:lineRule="auto" w:line="240" w:before="0" w:after="0"/>
              <w:jc w:val="center"/>
              <w:rPr>
                <w:sz w:val="20"/>
                <w:sz w:val="20"/>
                <w:szCs w:val="20"/>
                <w:rFonts w:eastAsia="Times New Roman" w:cs="Times New Roman"/>
                <w:lang w:eastAsia="pt-BR"/>
              </w:rPr>
            </w:pPr>
            <w:r>
              <w:rPr>
                <w:rFonts w:eastAsia="Times New Roman" w:cs="Times New Roman" w:ascii="Times New Roman" w:hAnsi="Times New Roman"/>
                <w:b/>
                <w:bCs/>
                <w:sz w:val="24"/>
                <w:szCs w:val="20"/>
                <w:lang w:eastAsia="pt-BR"/>
              </w:rPr>
              <w:t>Convênios e Parceria</w:t>
            </w:r>
            <w:r/>
          </w:p>
        </w:tc>
        <w:tc>
          <w:tcPr>
            <w:tcW w:w="6138" w:type="dxa"/>
            <w:tcBorders>
              <w:bottom w:val="single" w:sz="18" w:space="0" w:color="000001"/>
              <w:insideH w:val="single" w:sz="18" w:space="0" w:color="000001"/>
            </w:tcBorders>
            <w:shd w:color="auto" w:fill="auto" w:val="clear"/>
            <w:tcMar>
              <w:left w:w="-10" w:type="dxa"/>
            </w:tcMar>
          </w:tcPr>
          <w:p>
            <w:pPr>
              <w:pStyle w:val="Normal"/>
              <w:spacing w:lineRule="auto" w:line="240" w:before="0" w:after="0"/>
              <w:jc w:val="center"/>
              <w:rPr>
                <w:sz w:val="20"/>
                <w:sz w:val="20"/>
                <w:szCs w:val="20"/>
                <w:rFonts w:eastAsia="Times New Roman" w:cs="Times New Roman"/>
                <w:lang w:eastAsia="pt-BR"/>
              </w:rPr>
            </w:pPr>
            <w:r>
              <w:rPr>
                <w:rFonts w:eastAsia="Times New Roman" w:cs="Times New Roman" w:ascii="Times New Roman" w:hAnsi="Times New Roman"/>
                <w:b/>
                <w:bCs/>
                <w:sz w:val="24"/>
                <w:szCs w:val="20"/>
                <w:lang w:eastAsia="pt-BR"/>
              </w:rPr>
              <w:t>Perfil dos programas</w:t>
            </w:r>
            <w:r/>
          </w:p>
        </w:tc>
      </w:tr>
      <w:tr>
        <w:trPr>
          <w:trHeight w:val="2405" w:hRule="atLeast"/>
        </w:trPr>
        <w:tc>
          <w:tcPr>
            <w:tcW w:w="2115" w:type="dxa"/>
            <w:tcBorders/>
            <w:shd w:color="auto" w:fill="C0C0C0" w:themeFill="text1" w:themeFillTint="3f" w:val="clear"/>
            <w:tcMar>
              <w:left w:w="-10" w:type="dxa"/>
            </w:tcMar>
          </w:tcPr>
          <w:p>
            <w:pPr>
              <w:pStyle w:val="Normal"/>
              <w:spacing w:lineRule="auto" w:line="240" w:before="0" w:after="0"/>
              <w:jc w:val="both"/>
              <w:rPr>
                <w:sz w:val="20"/>
                <w:sz w:val="20"/>
                <w:szCs w:val="20"/>
              </w:rPr>
            </w:pPr>
            <w:r>
              <w:rPr>
                <w:rFonts w:eastAsia="" w:cs="" w:ascii="Times New Roman" w:hAnsi="Times New Roman" w:eastAsiaTheme="majorEastAsia"/>
                <w:b/>
                <w:bCs/>
                <w:sz w:val="24"/>
                <w:szCs w:val="20"/>
              </w:rPr>
              <w:t xml:space="preserve">Serviço Reflexivo Responsabilizante - </w:t>
            </w:r>
            <w:r/>
          </w:p>
          <w:p>
            <w:pPr>
              <w:pStyle w:val="Normal"/>
              <w:spacing w:lineRule="auto" w:line="240" w:before="0" w:after="0"/>
              <w:jc w:val="both"/>
              <w:rPr>
                <w:sz w:val="20"/>
                <w:sz w:val="20"/>
                <w:szCs w:val="20"/>
              </w:rPr>
            </w:pPr>
            <w:r>
              <w:rPr>
                <w:rFonts w:eastAsia="" w:cs="" w:ascii="Times New Roman" w:hAnsi="Times New Roman" w:eastAsiaTheme="majorEastAsia"/>
                <w:b/>
                <w:bCs/>
                <w:sz w:val="24"/>
                <w:szCs w:val="20"/>
              </w:rPr>
              <w:t>SERMais (Serviço de Reflexão, Responsabilização e Ressocialização dos Autores da Violência Doméstica e Familiar contra a Mulher na Cidade de Ponta Grossa)</w:t>
            </w:r>
            <w:r/>
          </w:p>
        </w:tc>
        <w:tc>
          <w:tcPr>
            <w:tcW w:w="1469" w:type="dxa"/>
            <w:tcBorders/>
            <w:shd w:color="auto" w:fill="C0C0C0" w:themeFill="text1" w:themeFillTint="3f" w:val="clear"/>
            <w:tcMar>
              <w:left w:w="-10" w:type="dxa"/>
            </w:tcMar>
          </w:tcPr>
          <w:p>
            <w:pPr>
              <w:pStyle w:val="Normal"/>
              <w:spacing w:lineRule="auto" w:line="240" w:before="0" w:after="0"/>
              <w:jc w:val="both"/>
            </w:pPr>
            <w:r>
              <w:rPr>
                <w:rFonts w:ascii="Times New Roman" w:hAnsi="Times New Roman"/>
                <w:sz w:val="24"/>
                <w:szCs w:val="20"/>
              </w:rPr>
              <w:t xml:space="preserve">Ponta Grossa </w:t>
            </w:r>
            <w:r/>
          </w:p>
        </w:tc>
        <w:tc>
          <w:tcPr>
            <w:tcW w:w="1919" w:type="dxa"/>
            <w:tcBorders/>
            <w:shd w:color="auto" w:fill="C0C0C0" w:themeFill="text1" w:themeFillTint="3f" w:val="clear"/>
            <w:tcMar>
              <w:left w:w="-10" w:type="dxa"/>
            </w:tcMar>
          </w:tcPr>
          <w:p>
            <w:pPr>
              <w:pStyle w:val="Normal"/>
              <w:spacing w:lineRule="auto" w:line="240" w:before="0" w:after="0"/>
              <w:jc w:val="both"/>
              <w:rPr>
                <w:sz w:val="20"/>
                <w:sz w:val="20"/>
                <w:szCs w:val="20"/>
              </w:rPr>
            </w:pPr>
            <w:r>
              <w:rPr>
                <w:rFonts w:ascii="Times New Roman" w:hAnsi="Times New Roman"/>
                <w:sz w:val="24"/>
                <w:szCs w:val="20"/>
              </w:rPr>
              <w:t>Não há registro dos dados de reincidência.</w:t>
            </w:r>
            <w:r/>
          </w:p>
        </w:tc>
        <w:tc>
          <w:tcPr>
            <w:tcW w:w="3554" w:type="dxa"/>
            <w:tcBorders/>
            <w:shd w:color="auto" w:fill="C0C0C0" w:themeFill="text1" w:themeFillTint="3f" w:val="clear"/>
            <w:tcMar>
              <w:left w:w="-10" w:type="dxa"/>
            </w:tcMar>
          </w:tcPr>
          <w:p>
            <w:pPr>
              <w:pStyle w:val="Normal"/>
              <w:spacing w:lineRule="auto" w:line="240" w:before="0" w:after="0"/>
              <w:jc w:val="both"/>
            </w:pPr>
            <w:r>
              <w:rPr>
                <w:rFonts w:ascii="Times New Roman" w:hAnsi="Times New Roman"/>
                <w:sz w:val="24"/>
                <w:szCs w:val="20"/>
              </w:rPr>
              <w:t>Universidade Estadual de Ponta Grossa – Núcleo de Estudos da Violência Domestica e familiar contra a Mulher (NEVICOM). Projeto de extensão em parceria com cursos de Direito e Serviço Social da UEPG</w:t>
            </w:r>
            <w:r/>
          </w:p>
        </w:tc>
        <w:tc>
          <w:tcPr>
            <w:tcW w:w="6138" w:type="dxa"/>
            <w:tcBorders/>
            <w:shd w:color="auto" w:fill="C0C0C0" w:themeFill="text1" w:themeFillTint="3f" w:val="clear"/>
            <w:tcMar>
              <w:left w:w="-10" w:type="dxa"/>
            </w:tcMar>
          </w:tcPr>
          <w:p>
            <w:pPr>
              <w:pStyle w:val="Normal"/>
              <w:spacing w:lineRule="auto" w:line="240" w:before="0" w:after="0"/>
              <w:jc w:val="both"/>
            </w:pPr>
            <w:r>
              <w:rPr>
                <w:rFonts w:ascii="Times New Roman" w:hAnsi="Times New Roman"/>
                <w:sz w:val="24"/>
                <w:szCs w:val="20"/>
              </w:rPr>
              <w:t>Atendimento aos homens autores de violência, encaminhados pela 4ª Vara Criminal de Ponta Grossa para participar de grupo, composto por, no máximo, 10 integrantes, com reuniões semanais de 02 horas, com duração de 06 meses. A equipe multidisciplinar que desenvolve o projeto é composta por psicólogo, advogados, assistente social e estagiária.</w:t>
            </w:r>
            <w:r/>
          </w:p>
        </w:tc>
      </w:tr>
      <w:tr>
        <w:trPr>
          <w:trHeight w:val="2778" w:hRule="atLeast"/>
        </w:trPr>
        <w:tc>
          <w:tcPr>
            <w:tcW w:w="2115" w:type="dxa"/>
            <w:tcBorders/>
            <w:shd w:color="auto" w:fill="auto" w:val="clear"/>
            <w:tcMar>
              <w:left w:w="-10" w:type="dxa"/>
            </w:tcMar>
          </w:tcPr>
          <w:p>
            <w:pPr>
              <w:pStyle w:val="Normal"/>
              <w:spacing w:lineRule="auto" w:line="240" w:before="0" w:after="0"/>
              <w:jc w:val="both"/>
              <w:rPr>
                <w:sz w:val="20"/>
                <w:sz w:val="20"/>
                <w:szCs w:val="20"/>
              </w:rPr>
            </w:pPr>
            <w:r>
              <w:rPr>
                <w:rFonts w:eastAsia="" w:cs="" w:ascii="Times New Roman" w:hAnsi="Times New Roman" w:eastAsiaTheme="majorEastAsia"/>
                <w:b/>
                <w:bCs/>
                <w:sz w:val="24"/>
                <w:szCs w:val="20"/>
              </w:rPr>
              <w:t>Projeto Caminhos: Grupo reflexivo para homens autores de violência doméstica</w:t>
            </w:r>
            <w:r/>
          </w:p>
        </w:tc>
        <w:tc>
          <w:tcPr>
            <w:tcW w:w="1469" w:type="dxa"/>
            <w:tcBorders/>
            <w:shd w:color="auto" w:fill="auto" w:val="clear"/>
            <w:tcMar>
              <w:left w:w="-10" w:type="dxa"/>
            </w:tcMar>
          </w:tcPr>
          <w:p>
            <w:pPr>
              <w:pStyle w:val="Normal"/>
              <w:spacing w:lineRule="auto" w:line="240" w:before="0" w:after="0"/>
              <w:jc w:val="both"/>
              <w:rPr>
                <w:shd w:fill="FFFFFF" w:val="clear"/>
              </w:rPr>
            </w:pPr>
            <w:r>
              <w:rPr>
                <w:rFonts w:ascii="Times New Roman" w:hAnsi="Times New Roman"/>
                <w:sz w:val="24"/>
                <w:szCs w:val="20"/>
                <w:shd w:fill="FFFFFF" w:val="clear"/>
              </w:rPr>
              <w:t>Londrina</w:t>
            </w:r>
            <w:r/>
          </w:p>
        </w:tc>
        <w:tc>
          <w:tcPr>
            <w:tcW w:w="1919" w:type="dxa"/>
            <w:tcBorders/>
            <w:shd w:color="auto" w:fill="auto" w:val="clear"/>
            <w:tcMar>
              <w:left w:w="-10" w:type="dxa"/>
            </w:tcMar>
          </w:tcPr>
          <w:p>
            <w:pPr>
              <w:pStyle w:val="Normal"/>
              <w:spacing w:lineRule="auto" w:line="240" w:before="0" w:after="0"/>
              <w:jc w:val="both"/>
              <w:rPr>
                <w:sz w:val="20"/>
                <w:sz w:val="20"/>
                <w:szCs w:val="20"/>
              </w:rPr>
            </w:pPr>
            <w:r>
              <w:rPr>
                <w:rFonts w:ascii="Times New Roman" w:hAnsi="Times New Roman"/>
                <w:sz w:val="24"/>
                <w:szCs w:val="20"/>
              </w:rPr>
              <w:t xml:space="preserve">Dos 349 homens autores de violência doméstica que finalizaram de um dos 12 grupos reflexivos e responsabilizantes, apenas 01 reincidiu, até o término do Projeto Caminhos. </w:t>
            </w:r>
            <w:r/>
          </w:p>
        </w:tc>
        <w:tc>
          <w:tcPr>
            <w:tcW w:w="3554" w:type="dxa"/>
            <w:tcBorders/>
            <w:shd w:color="auto" w:fill="auto" w:val="clear"/>
            <w:tcMar>
              <w:left w:w="-10" w:type="dxa"/>
            </w:tcMar>
          </w:tcPr>
          <w:p>
            <w:pPr>
              <w:pStyle w:val="Normal"/>
              <w:spacing w:lineRule="auto" w:line="240" w:before="0" w:after="0"/>
              <w:jc w:val="both"/>
            </w:pPr>
            <w:r>
              <w:rPr>
                <w:rFonts w:ascii="Times New Roman" w:hAnsi="Times New Roman"/>
                <w:sz w:val="24"/>
                <w:szCs w:val="20"/>
              </w:rPr>
              <w:t>Secretaria de Estado de Justiça, Cidadania e Direitos Humanos; Ministério da Justiça; 6ª Vara Criminal de Londrina</w:t>
            </w:r>
            <w:r/>
          </w:p>
        </w:tc>
        <w:tc>
          <w:tcPr>
            <w:tcW w:w="6138" w:type="dxa"/>
            <w:tcBorders/>
            <w:shd w:color="auto" w:fill="auto" w:val="clear"/>
            <w:tcMar>
              <w:left w:w="-10" w:type="dxa"/>
            </w:tcMar>
          </w:tcPr>
          <w:p>
            <w:pPr>
              <w:pStyle w:val="Normal"/>
              <w:spacing w:lineRule="auto" w:line="240" w:before="0" w:after="0"/>
              <w:jc w:val="both"/>
            </w:pPr>
            <w:r>
              <w:rPr>
                <w:rFonts w:ascii="Times New Roman" w:hAnsi="Times New Roman"/>
                <w:sz w:val="24"/>
                <w:szCs w:val="20"/>
              </w:rPr>
              <w:t>Serviço de educação e responsabilização para homens autores de violência doméstica. Os grupos desenvolviam-se com a realização de 12 encontros, realizados semanalmente, com duração de 1h30m, por um período de aproximadamente 4 meses. A metodologia consistiu, em breve resumo, na realização de entrevistas preliminares para triagem dos participantes; encontros dos grupos reflexivos com temas previamente definidos durante 12 encontros; avaliação dos grupos; acompanhamento e avaliação dos integrantes do grupo e divulgação do Projeto. Durantes o ano de 2013 e em janeiro e fevereiro de 2014 foram atendidos ao todo 332 homens autores de violência doméstica divididos em 12 grupos.</w:t>
            </w:r>
            <w:r/>
          </w:p>
        </w:tc>
      </w:tr>
      <w:tr>
        <w:trPr>
          <w:trHeight w:val="131" w:hRule="atLeast"/>
        </w:trPr>
        <w:tc>
          <w:tcPr>
            <w:tcW w:w="2115" w:type="dxa"/>
            <w:tcBorders/>
            <w:shd w:color="auto" w:fill="C0C0C0" w:themeFill="text1" w:themeFillTint="3f" w:val="clear"/>
            <w:tcMar>
              <w:left w:w="-10" w:type="dxa"/>
            </w:tcMar>
          </w:tcPr>
          <w:p>
            <w:pPr>
              <w:pStyle w:val="Normal"/>
              <w:spacing w:lineRule="auto" w:line="240" w:before="0" w:after="0"/>
              <w:jc w:val="both"/>
              <w:rPr>
                <w:sz w:val="20"/>
                <w:sz w:val="20"/>
                <w:szCs w:val="20"/>
              </w:rPr>
            </w:pPr>
            <w:r>
              <w:rPr>
                <w:rFonts w:eastAsia="" w:cs="" w:ascii="Times New Roman" w:hAnsi="Times New Roman" w:eastAsiaTheme="majorEastAsia"/>
                <w:b/>
                <w:bCs/>
                <w:sz w:val="24"/>
                <w:szCs w:val="20"/>
              </w:rPr>
              <w:t>Grupo Basta – Projeto grupo Educativo contra violência doméstica</w:t>
            </w:r>
            <w:r/>
          </w:p>
        </w:tc>
        <w:tc>
          <w:tcPr>
            <w:tcW w:w="1469" w:type="dxa"/>
            <w:tcBorders/>
            <w:shd w:color="auto" w:fill="C0C0C0" w:themeFill="text1" w:themeFillTint="3f" w:val="clear"/>
            <w:tcMar>
              <w:left w:w="-10" w:type="dxa"/>
            </w:tcMar>
          </w:tcPr>
          <w:p>
            <w:pPr>
              <w:pStyle w:val="Normal"/>
              <w:spacing w:lineRule="auto" w:line="240" w:before="0" w:after="0"/>
              <w:jc w:val="both"/>
              <w:rPr>
                <w:shd w:fill="FFFFFF" w:val="clear"/>
              </w:rPr>
            </w:pPr>
            <w:r>
              <w:rPr>
                <w:rFonts w:ascii="Times New Roman" w:hAnsi="Times New Roman"/>
                <w:sz w:val="24"/>
                <w:szCs w:val="20"/>
                <w:shd w:fill="FFFFFF" w:val="clear"/>
              </w:rPr>
              <w:t>Foz do Iguaçu</w:t>
            </w:r>
            <w:r/>
          </w:p>
        </w:tc>
        <w:tc>
          <w:tcPr>
            <w:tcW w:w="1919" w:type="dxa"/>
            <w:tcBorders/>
            <w:shd w:color="auto" w:fill="C0C0C0" w:themeFill="text1" w:themeFillTint="3f" w:val="clear"/>
            <w:tcMar>
              <w:left w:w="-10" w:type="dxa"/>
            </w:tcMar>
          </w:tcPr>
          <w:p>
            <w:pPr>
              <w:pStyle w:val="Normal"/>
              <w:spacing w:lineRule="auto" w:line="240" w:before="0" w:after="0"/>
              <w:jc w:val="both"/>
              <w:rPr>
                <w:sz w:val="20"/>
                <w:sz w:val="20"/>
                <w:szCs w:val="20"/>
              </w:rPr>
            </w:pPr>
            <w:r>
              <w:rPr>
                <w:rFonts w:ascii="Times New Roman" w:hAnsi="Times New Roman"/>
                <w:sz w:val="24"/>
                <w:szCs w:val="20"/>
                <w:shd w:fill="FFFFFF" w:val="clear"/>
              </w:rPr>
              <w:t>Não há registro dos dados de reincidência.</w:t>
            </w:r>
            <w:r/>
          </w:p>
        </w:tc>
        <w:tc>
          <w:tcPr>
            <w:tcW w:w="3554" w:type="dxa"/>
            <w:tcBorders/>
            <w:shd w:color="auto" w:fill="C0C0C0" w:themeFill="text1" w:themeFillTint="3f" w:val="clear"/>
            <w:tcMar>
              <w:left w:w="-10" w:type="dxa"/>
            </w:tcMar>
          </w:tcPr>
          <w:p>
            <w:pPr>
              <w:pStyle w:val="Normal"/>
              <w:spacing w:lineRule="auto" w:line="240" w:before="0" w:after="0"/>
              <w:jc w:val="both"/>
              <w:rPr>
                <w:shd w:fill="FFFFFF" w:val="clear"/>
              </w:rPr>
            </w:pPr>
            <w:r>
              <w:rPr>
                <w:rFonts w:ascii="Times New Roman" w:hAnsi="Times New Roman"/>
                <w:sz w:val="24"/>
                <w:szCs w:val="20"/>
                <w:shd w:fill="FFFFFF" w:val="clear"/>
              </w:rPr>
              <w:t>Patronato Penitenciário Municipal</w:t>
            </w:r>
            <w:r>
              <w:rPr>
                <w:rFonts w:ascii="Times New Roman" w:hAnsi="Times New Roman"/>
                <w:sz w:val="20"/>
                <w:szCs w:val="20"/>
                <w:shd w:fill="FFFFFF" w:val="clear"/>
              </w:rPr>
              <w:t xml:space="preserve"> parceria com UNIOESTE no projeto “ Laço Branco”</w:t>
            </w:r>
            <w:r/>
          </w:p>
        </w:tc>
        <w:tc>
          <w:tcPr>
            <w:tcW w:w="6138" w:type="dxa"/>
            <w:tcBorders/>
            <w:shd w:color="auto" w:fill="C0C0C0" w:themeFill="text1" w:themeFillTint="3f" w:val="clear"/>
            <w:tcMar>
              <w:left w:w="-10" w:type="dxa"/>
            </w:tcMar>
          </w:tcPr>
          <w:p>
            <w:pPr>
              <w:pStyle w:val="Normal"/>
              <w:spacing w:lineRule="auto" w:line="240" w:before="0" w:after="0"/>
              <w:jc w:val="both"/>
            </w:pPr>
            <w:r>
              <w:rPr>
                <w:rFonts w:ascii="Times New Roman" w:hAnsi="Times New Roman"/>
                <w:sz w:val="24"/>
                <w:szCs w:val="20"/>
              </w:rPr>
              <w:t>O programa teve início em 2016. São realizados encontros com duração de quatro horas mensais. O programa atende em média 12 agressores, que são encaminhados pelo Judiciário ao Patronato, como condição obrigatória a participação no Programa Basta. Os encontros são interdependentes, portanto, o programa funciona de forma rotativa, com os homens agressores entrando e saindo dos grupos mensalmente.</w:t>
            </w:r>
            <w:r/>
          </w:p>
        </w:tc>
      </w:tr>
      <w:tr>
        <w:trPr>
          <w:trHeight w:val="131" w:hRule="atLeast"/>
        </w:trPr>
        <w:tc>
          <w:tcPr>
            <w:tcW w:w="2115" w:type="dxa"/>
            <w:tcBorders/>
            <w:shd w:color="auto" w:fill="auto" w:val="clear"/>
            <w:tcMar>
              <w:left w:w="-10" w:type="dxa"/>
            </w:tcMar>
          </w:tcPr>
          <w:p>
            <w:pPr>
              <w:pStyle w:val="Normal"/>
              <w:spacing w:lineRule="auto" w:line="240" w:before="0" w:after="0"/>
              <w:jc w:val="both"/>
              <w:rPr>
                <w:sz w:val="20"/>
                <w:sz w:val="20"/>
                <w:szCs w:val="20"/>
              </w:rPr>
            </w:pPr>
            <w:r>
              <w:rPr>
                <w:rFonts w:eastAsia="" w:cs="" w:ascii="Times New Roman" w:hAnsi="Times New Roman" w:eastAsiaTheme="majorEastAsia"/>
                <w:b/>
                <w:bCs/>
                <w:sz w:val="24"/>
                <w:szCs w:val="20"/>
                <w:shd w:fill="FFFFFF" w:val="clear"/>
              </w:rPr>
              <w:t>Retratos de uma História</w:t>
            </w:r>
            <w:r/>
          </w:p>
        </w:tc>
        <w:tc>
          <w:tcPr>
            <w:tcW w:w="1469" w:type="dxa"/>
            <w:tcBorders/>
            <w:shd w:color="auto" w:fill="auto" w:val="clear"/>
            <w:tcMar>
              <w:left w:w="-10" w:type="dxa"/>
            </w:tcMar>
          </w:tcPr>
          <w:p>
            <w:pPr>
              <w:pStyle w:val="Normal"/>
              <w:spacing w:lineRule="auto" w:line="240" w:before="0" w:after="0"/>
              <w:jc w:val="both"/>
              <w:rPr>
                <w:shd w:fill="FFFFFF" w:val="clear"/>
              </w:rPr>
            </w:pPr>
            <w:r>
              <w:rPr>
                <w:rFonts w:ascii="Times New Roman" w:hAnsi="Times New Roman"/>
                <w:sz w:val="24"/>
                <w:szCs w:val="20"/>
                <w:shd w:fill="FFFFFF" w:val="clear"/>
              </w:rPr>
              <w:t xml:space="preserve">Guarapuava </w:t>
            </w:r>
            <w:r/>
          </w:p>
        </w:tc>
        <w:tc>
          <w:tcPr>
            <w:tcW w:w="1919" w:type="dxa"/>
            <w:tcBorders/>
            <w:shd w:color="auto" w:fill="auto" w:val="clear"/>
            <w:tcMar>
              <w:left w:w="-10" w:type="dxa"/>
            </w:tcMar>
          </w:tcPr>
          <w:p>
            <w:pPr>
              <w:pStyle w:val="Normal"/>
              <w:spacing w:lineRule="auto" w:line="240" w:before="0" w:after="0"/>
              <w:jc w:val="both"/>
              <w:rPr>
                <w:sz w:val="20"/>
                <w:sz w:val="20"/>
                <w:szCs w:val="20"/>
              </w:rPr>
            </w:pPr>
            <w:r>
              <w:rPr>
                <w:rFonts w:ascii="Times New Roman" w:hAnsi="Times New Roman"/>
                <w:sz w:val="24"/>
                <w:szCs w:val="20"/>
              </w:rPr>
              <w:t>Não há registro dos dados de reincidência.</w:t>
            </w:r>
            <w:r/>
          </w:p>
        </w:tc>
        <w:tc>
          <w:tcPr>
            <w:tcW w:w="3554" w:type="dxa"/>
            <w:tcBorders/>
            <w:shd w:color="auto" w:fill="auto" w:val="clear"/>
            <w:tcMar>
              <w:left w:w="-10" w:type="dxa"/>
            </w:tcMar>
          </w:tcPr>
          <w:p>
            <w:pPr>
              <w:pStyle w:val="Normal"/>
              <w:spacing w:lineRule="auto" w:line="240" w:before="0" w:after="0"/>
              <w:jc w:val="both"/>
              <w:rPr>
                <w:shd w:fill="FFFFFF" w:val="clear"/>
              </w:rPr>
            </w:pPr>
            <w:r>
              <w:rPr>
                <w:rFonts w:ascii="Times New Roman" w:hAnsi="Times New Roman"/>
                <w:sz w:val="24"/>
                <w:szCs w:val="20"/>
                <w:shd w:fill="FFFFFF" w:val="clear"/>
              </w:rPr>
              <w:t>Patronato Penitenciário Municipal, 1ª Vara Criminal e Vara de Execução Penal e Centro de Referência Especializado de Assistência Social (CREAS).</w:t>
            </w:r>
            <w:r/>
          </w:p>
        </w:tc>
        <w:tc>
          <w:tcPr>
            <w:tcW w:w="6138" w:type="dxa"/>
            <w:tcBorders/>
            <w:shd w:color="auto" w:fill="auto" w:val="clear"/>
            <w:tcMar>
              <w:left w:w="-10" w:type="dxa"/>
            </w:tcMar>
          </w:tcPr>
          <w:p>
            <w:pPr>
              <w:pStyle w:val="Normal"/>
              <w:spacing w:lineRule="auto" w:line="240" w:before="0" w:after="0"/>
              <w:jc w:val="both"/>
              <w:rPr>
                <w:sz w:val="20"/>
                <w:sz w:val="20"/>
                <w:szCs w:val="20"/>
              </w:rPr>
            </w:pPr>
            <w:r>
              <w:rPr>
                <w:rFonts w:ascii="Times New Roman" w:hAnsi="Times New Roman"/>
                <w:sz w:val="24"/>
                <w:szCs w:val="20"/>
                <w:shd w:fill="FFFFFF" w:val="clear"/>
              </w:rPr>
              <w:t>Realizados quatro encontros semanais, com duração de 02 horas, para grupos de, em média, 08 autores de violência doméstica e familiar contra a mulher. Os profissionais que coordenam os grupos são das áreas de serviço social e psicologia.</w:t>
            </w:r>
            <w:r/>
          </w:p>
        </w:tc>
      </w:tr>
      <w:tr>
        <w:trPr>
          <w:trHeight w:val="131" w:hRule="atLeast"/>
        </w:trPr>
        <w:tc>
          <w:tcPr>
            <w:tcW w:w="2115" w:type="dxa"/>
            <w:tcBorders/>
            <w:shd w:color="auto" w:fill="C0C0C0" w:themeFill="text1" w:themeFillTint="3f" w:val="clear"/>
            <w:tcMar>
              <w:left w:w="-10" w:type="dxa"/>
            </w:tcMar>
          </w:tcPr>
          <w:p>
            <w:pPr>
              <w:pStyle w:val="Normal"/>
              <w:spacing w:lineRule="auto" w:line="240" w:before="0" w:after="0"/>
              <w:jc w:val="both"/>
              <w:rPr>
                <w:b/>
                <w:b/>
                <w:bCs/>
                <w:rFonts w:cs=""/>
              </w:rPr>
            </w:pPr>
            <w:r>
              <w:rPr>
                <w:rFonts w:eastAsia="" w:cs="" w:ascii="Times New Roman" w:hAnsi="Times New Roman" w:eastAsiaTheme="majorEastAsia"/>
                <w:b/>
                <w:bCs/>
                <w:sz w:val="24"/>
                <w:szCs w:val="20"/>
              </w:rPr>
              <w:t>Grupo Guia: Sensibilização e Orientação aos Autores de Violência contra a Mulher</w:t>
            </w:r>
            <w:r/>
          </w:p>
        </w:tc>
        <w:tc>
          <w:tcPr>
            <w:tcW w:w="1469" w:type="dxa"/>
            <w:tcBorders/>
            <w:shd w:color="auto" w:fill="C0C0C0" w:themeFill="text1" w:themeFillTint="3f" w:val="clear"/>
            <w:tcMar>
              <w:left w:w="-10" w:type="dxa"/>
            </w:tcMar>
          </w:tcPr>
          <w:p>
            <w:pPr>
              <w:pStyle w:val="Normal"/>
              <w:spacing w:lineRule="auto" w:line="240" w:before="0" w:after="0"/>
              <w:jc w:val="both"/>
            </w:pPr>
            <w:r>
              <w:rPr>
                <w:rFonts w:ascii="Times New Roman" w:hAnsi="Times New Roman"/>
                <w:sz w:val="24"/>
                <w:szCs w:val="20"/>
              </w:rPr>
              <w:t xml:space="preserve">Curitiba </w:t>
            </w:r>
            <w:r/>
          </w:p>
        </w:tc>
        <w:tc>
          <w:tcPr>
            <w:tcW w:w="1919" w:type="dxa"/>
            <w:tcBorders/>
            <w:shd w:color="auto" w:fill="C0C0C0" w:themeFill="text1" w:themeFillTint="3f" w:val="clear"/>
            <w:tcMar>
              <w:left w:w="-10" w:type="dxa"/>
            </w:tcMar>
          </w:tcPr>
          <w:p>
            <w:pPr>
              <w:pStyle w:val="Normal"/>
              <w:spacing w:lineRule="auto" w:line="240" w:before="0" w:after="0"/>
              <w:jc w:val="both"/>
              <w:rPr>
                <w:sz w:val="20"/>
                <w:sz w:val="20"/>
                <w:szCs w:val="20"/>
              </w:rPr>
            </w:pPr>
            <w:r>
              <w:rPr>
                <w:rFonts w:ascii="Times New Roman" w:hAnsi="Times New Roman"/>
                <w:sz w:val="24"/>
                <w:szCs w:val="20"/>
              </w:rPr>
              <w:t>Não há registro dos dados de reincidência.</w:t>
            </w:r>
            <w:r/>
          </w:p>
        </w:tc>
        <w:tc>
          <w:tcPr>
            <w:tcW w:w="3554" w:type="dxa"/>
            <w:tcBorders/>
            <w:shd w:color="auto" w:fill="C0C0C0" w:themeFill="text1" w:themeFillTint="3f" w:val="clear"/>
            <w:tcMar>
              <w:left w:w="-10" w:type="dxa"/>
            </w:tcMar>
          </w:tcPr>
          <w:p>
            <w:pPr>
              <w:pStyle w:val="Normal"/>
              <w:spacing w:lineRule="auto" w:line="240" w:before="0" w:after="0"/>
              <w:jc w:val="both"/>
              <w:rPr>
                <w:sz w:val="20"/>
                <w:sz w:val="20"/>
                <w:szCs w:val="20"/>
              </w:rPr>
            </w:pPr>
            <w:r>
              <w:rPr>
                <w:rFonts w:ascii="Times New Roman" w:hAnsi="Times New Roman"/>
                <w:sz w:val="24"/>
                <w:szCs w:val="20"/>
              </w:rPr>
              <w:t xml:space="preserve">Tribunal de Justiça do Estado do Paraná, por meio do Juizado Especializado de Enfrentamento à Violência Doméstica e Familiar contra a Mulher de Curitiba e do </w:t>
            </w:r>
            <w:bookmarkStart w:id="0" w:name="__DdeLink__502_1681824207"/>
            <w:r>
              <w:rPr>
                <w:rFonts w:ascii="Times New Roman" w:hAnsi="Times New Roman"/>
                <w:sz w:val="24"/>
                <w:szCs w:val="20"/>
              </w:rPr>
              <w:t>Setor Psicossocial de Atenção à Violência Doméstica e Familiar – SEPAVI do</w:t>
            </w:r>
            <w:bookmarkEnd w:id="0"/>
            <w:r>
              <w:rPr>
                <w:rFonts w:ascii="Times New Roman" w:hAnsi="Times New Roman"/>
                <w:sz w:val="24"/>
                <w:szCs w:val="20"/>
              </w:rPr>
              <w:t xml:space="preserve"> Juizado.</w:t>
            </w:r>
            <w:r/>
          </w:p>
        </w:tc>
        <w:tc>
          <w:tcPr>
            <w:tcW w:w="6138" w:type="dxa"/>
            <w:tcBorders/>
            <w:shd w:color="auto" w:fill="C0C0C0" w:themeFill="text1" w:themeFillTint="3f" w:val="clear"/>
            <w:tcMar>
              <w:left w:w="-10" w:type="dxa"/>
            </w:tcMar>
          </w:tcPr>
          <w:p>
            <w:pPr>
              <w:pStyle w:val="Normal"/>
              <w:spacing w:lineRule="auto" w:line="240" w:before="0" w:after="0"/>
              <w:jc w:val="both"/>
            </w:pPr>
            <w:r>
              <w:rPr>
                <w:rFonts w:ascii="Times New Roman" w:hAnsi="Times New Roman"/>
                <w:sz w:val="24"/>
                <w:szCs w:val="20"/>
              </w:rPr>
              <w:t xml:space="preserve">Sensibilização e Orientação aos Autores de Violência contra a Mulher, por meio da realização de quatro encontros semanais, com duração de 02 horas e 30 minutos, com módulos temáticos específicos e independentes (autoconhecimento, agressividade X violência, fatores externos e violência e papéis familiares e de gênero). A participação nos grupos é determinada após análise do juízo em duas situações: a) como medida cautelar substitutiva da prisão, para autores de violência detidos em flagrante; b) quando há descumprimento da medida protetiva acarretando a prisão preventiva, poderá ser concedida a liberdade provisória ao sujeito e, como condição, a determinação que ele participe no grupo. </w:t>
            </w:r>
            <w:r/>
          </w:p>
        </w:tc>
      </w:tr>
      <w:tr>
        <w:trPr>
          <w:trHeight w:val="448" w:hRule="atLeast"/>
        </w:trPr>
        <w:tc>
          <w:tcPr>
            <w:tcW w:w="2115" w:type="dxa"/>
            <w:tcBorders/>
            <w:shd w:color="auto" w:fill="auto" w:val="clear"/>
            <w:tcMar>
              <w:left w:w="-10" w:type="dxa"/>
            </w:tcMar>
          </w:tcPr>
          <w:p>
            <w:pPr>
              <w:pStyle w:val="Normal"/>
              <w:spacing w:lineRule="auto" w:line="240" w:before="0" w:after="0"/>
              <w:jc w:val="both"/>
              <w:rPr>
                <w:b/>
                <w:b/>
                <w:bCs/>
                <w:rFonts w:cs=""/>
              </w:rPr>
            </w:pPr>
            <w:r>
              <w:rPr>
                <w:rFonts w:eastAsia="" w:cs="" w:ascii="Times New Roman" w:hAnsi="Times New Roman" w:eastAsiaTheme="majorEastAsia"/>
                <w:b/>
                <w:bCs/>
                <w:sz w:val="24"/>
                <w:szCs w:val="20"/>
              </w:rPr>
              <w:t>Aspectos Gerais Sobre o Projeto Maria da Penha</w:t>
            </w:r>
            <w:r/>
          </w:p>
        </w:tc>
        <w:tc>
          <w:tcPr>
            <w:tcW w:w="1469" w:type="dxa"/>
            <w:tcBorders/>
            <w:shd w:color="auto" w:fill="auto" w:val="clear"/>
            <w:tcMar>
              <w:left w:w="-10" w:type="dxa"/>
            </w:tcMar>
          </w:tcPr>
          <w:p>
            <w:pPr>
              <w:pStyle w:val="Normal"/>
              <w:spacing w:lineRule="auto" w:line="240" w:before="0" w:after="0"/>
              <w:jc w:val="both"/>
            </w:pPr>
            <w:r>
              <w:rPr>
                <w:rFonts w:ascii="Times New Roman" w:hAnsi="Times New Roman"/>
                <w:sz w:val="24"/>
                <w:szCs w:val="20"/>
              </w:rPr>
              <w:t>Cianorte</w:t>
            </w:r>
            <w:r/>
          </w:p>
        </w:tc>
        <w:tc>
          <w:tcPr>
            <w:tcW w:w="1919" w:type="dxa"/>
            <w:tcBorders/>
            <w:shd w:color="auto" w:fill="auto" w:val="clear"/>
            <w:tcMar>
              <w:left w:w="-10" w:type="dxa"/>
            </w:tcMar>
          </w:tcPr>
          <w:p>
            <w:pPr>
              <w:pStyle w:val="Normal"/>
              <w:spacing w:lineRule="auto" w:line="240" w:before="0" w:after="0"/>
              <w:jc w:val="both"/>
              <w:rPr>
                <w:sz w:val="20"/>
                <w:sz w:val="20"/>
                <w:szCs w:val="20"/>
              </w:rPr>
            </w:pPr>
            <w:r>
              <w:rPr>
                <w:rFonts w:ascii="Times New Roman" w:hAnsi="Times New Roman"/>
                <w:sz w:val="24"/>
                <w:szCs w:val="20"/>
              </w:rPr>
              <w:t>De cada 100 participantes, apenas cinco reincidiram.</w:t>
            </w:r>
            <w:r/>
          </w:p>
        </w:tc>
        <w:tc>
          <w:tcPr>
            <w:tcW w:w="3554" w:type="dxa"/>
            <w:tcBorders/>
            <w:shd w:color="auto" w:fill="auto" w:val="clear"/>
            <w:tcMar>
              <w:left w:w="-10" w:type="dxa"/>
            </w:tcMar>
          </w:tcPr>
          <w:p>
            <w:pPr>
              <w:pStyle w:val="Normal"/>
              <w:spacing w:lineRule="auto" w:line="240" w:before="0" w:after="0"/>
              <w:jc w:val="both"/>
            </w:pPr>
            <w:r>
              <w:rPr>
                <w:rFonts w:ascii="Times New Roman" w:hAnsi="Times New Roman"/>
                <w:sz w:val="24"/>
                <w:szCs w:val="20"/>
              </w:rPr>
              <w:t>Ministério Público do Estado do Paraná e OAB/PR e Vara Criminal</w:t>
            </w:r>
            <w:r/>
          </w:p>
          <w:p>
            <w:pPr>
              <w:pStyle w:val="Normal"/>
              <w:spacing w:lineRule="auto" w:line="240" w:before="0" w:after="0"/>
              <w:jc w:val="both"/>
              <w:rPr>
                <w:sz w:val="20"/>
                <w:sz w:val="20"/>
                <w:szCs w:val="20"/>
                <w:rFonts w:ascii="Times New Roman" w:hAnsi="Times New Roman" w:eastAsia="Calibri" w:cs=""/>
                <w:color w:val="00000A"/>
                <w:lang w:val="pt-BR" w:eastAsia="en-US" w:bidi="ar-SA"/>
              </w:rPr>
            </w:pPr>
            <w:r>
              <w:rPr>
                <w:rFonts w:ascii="Times New Roman" w:hAnsi="Times New Roman"/>
                <w:sz w:val="20"/>
                <w:szCs w:val="20"/>
              </w:rPr>
            </w:r>
            <w:r/>
          </w:p>
        </w:tc>
        <w:tc>
          <w:tcPr>
            <w:tcW w:w="6138" w:type="dxa"/>
            <w:tcBorders/>
            <w:shd w:color="auto" w:fill="auto" w:val="clear"/>
            <w:tcMar>
              <w:left w:w="-10" w:type="dxa"/>
            </w:tcMar>
          </w:tcPr>
          <w:p>
            <w:pPr>
              <w:pStyle w:val="Normal"/>
              <w:spacing w:lineRule="auto" w:line="240" w:before="0" w:after="0"/>
              <w:jc w:val="both"/>
              <w:rPr>
                <w:sz w:val="20"/>
                <w:sz w:val="20"/>
                <w:szCs w:val="20"/>
              </w:rPr>
            </w:pPr>
            <w:r>
              <w:rPr>
                <w:rFonts w:ascii="Times New Roman" w:hAnsi="Times New Roman"/>
                <w:sz w:val="24"/>
                <w:szCs w:val="20"/>
              </w:rPr>
              <w:t>Realização de palestras e audiências coletivas para os agressores mensalmente</w:t>
            </w:r>
            <w:r>
              <w:rPr>
                <w:rFonts w:ascii="Times New Roman" w:hAnsi="Times New Roman"/>
                <w:i/>
                <w:sz w:val="24"/>
                <w:szCs w:val="20"/>
              </w:rPr>
              <w:t>, a priori</w:t>
            </w:r>
            <w:r>
              <w:rPr>
                <w:rFonts w:ascii="Times New Roman" w:hAnsi="Times New Roman"/>
                <w:sz w:val="24"/>
                <w:szCs w:val="20"/>
              </w:rPr>
              <w:t xml:space="preserve"> e posteriormente com periodicidade bimestral e trimestral. Ademais, é realizado também atendimento individual e personalizado às vítimas e partes, bem com encaminhamento ao serviço social e departamento responsável pela inserção no mercado de trabalho. </w:t>
            </w:r>
            <w:r/>
          </w:p>
        </w:tc>
      </w:tr>
      <w:tr>
        <w:trPr>
          <w:trHeight w:val="2445" w:hRule="atLeast"/>
        </w:trPr>
        <w:tc>
          <w:tcPr>
            <w:tcW w:w="2115" w:type="dxa"/>
            <w:tcBorders/>
            <w:shd w:color="auto" w:fill="auto" w:val="clear"/>
            <w:tcMar>
              <w:left w:w="-10" w:type="dxa"/>
            </w:tcMar>
          </w:tcPr>
          <w:p>
            <w:pPr>
              <w:pStyle w:val="Normal"/>
              <w:spacing w:lineRule="auto" w:line="240" w:before="0" w:after="0"/>
              <w:jc w:val="both"/>
              <w:rPr>
                <w:b/>
                <w:b/>
                <w:bCs/>
                <w:rFonts w:ascii="Cambria" w:hAnsi="Cambria" w:eastAsia="" w:cs="" w:asciiTheme="majorHAnsi" w:cstheme="majorBidi" w:eastAsiaTheme="majorEastAsia" w:hAnsiTheme="majorHAnsi"/>
              </w:rPr>
            </w:pPr>
            <w:r>
              <w:rPr>
                <w:rFonts w:eastAsia="Times New Roman" w:cs="Times New Roman" w:ascii="Times New Roman" w:hAnsi="Times New Roman"/>
                <w:b/>
                <w:bCs/>
                <w:sz w:val="24"/>
                <w:szCs w:val="20"/>
                <w:shd w:fill="FFFFFF" w:val="clear"/>
                <w:lang w:eastAsia="pt-BR"/>
              </w:rPr>
              <w:t>Mulheres e famílias em contexto de violência doméstica em Maringá</w:t>
            </w:r>
            <w:r/>
          </w:p>
        </w:tc>
        <w:tc>
          <w:tcPr>
            <w:tcW w:w="1469" w:type="dxa"/>
            <w:tcBorders/>
            <w:shd w:color="auto" w:fill="auto" w:val="clear"/>
            <w:tcMar>
              <w:left w:w="-10" w:type="dxa"/>
            </w:tcMar>
          </w:tcPr>
          <w:p>
            <w:pPr>
              <w:pStyle w:val="Normal"/>
              <w:spacing w:lineRule="auto" w:line="240" w:before="0" w:after="0"/>
              <w:jc w:val="both"/>
              <w:rPr>
                <w:shd w:fill="0000FF" w:val="clear"/>
              </w:rPr>
            </w:pPr>
            <w:r>
              <w:rPr>
                <w:rFonts w:ascii="Times New Roman" w:hAnsi="Times New Roman"/>
                <w:sz w:val="24"/>
                <w:szCs w:val="20"/>
                <w:shd w:fill="FFFFFF" w:val="clear"/>
              </w:rPr>
              <w:t>Maringá</w:t>
            </w:r>
            <w:r/>
          </w:p>
          <w:p>
            <w:pPr>
              <w:pStyle w:val="Normal"/>
              <w:spacing w:lineRule="auto" w:line="240" w:before="0" w:after="0"/>
              <w:jc w:val="both"/>
              <w:rPr>
                <w:sz w:val="24"/>
                <w:sz w:val="24"/>
                <w:szCs w:val="20"/>
                <w:rFonts w:ascii="Times New Roman" w:hAnsi="Times New Roman" w:eastAsia="Calibri" w:cs=""/>
                <w:color w:val="00000A"/>
                <w:lang w:val="pt-BR" w:eastAsia="en-US" w:bidi="ar-SA"/>
              </w:rPr>
            </w:pPr>
            <w:r>
              <w:rPr>
                <w:rFonts w:ascii="Times New Roman" w:hAnsi="Times New Roman"/>
                <w:sz w:val="24"/>
                <w:szCs w:val="20"/>
              </w:rPr>
            </w:r>
            <w:r/>
          </w:p>
        </w:tc>
        <w:tc>
          <w:tcPr>
            <w:tcW w:w="1919" w:type="dxa"/>
            <w:tcBorders/>
            <w:shd w:color="auto" w:fill="auto" w:val="clear"/>
            <w:tcMar>
              <w:left w:w="-10" w:type="dxa"/>
            </w:tcMar>
          </w:tcPr>
          <w:p>
            <w:pPr>
              <w:pStyle w:val="Normal"/>
              <w:spacing w:lineRule="auto" w:line="240" w:before="0" w:after="0"/>
              <w:jc w:val="both"/>
              <w:rPr>
                <w:sz w:val="20"/>
                <w:sz w:val="20"/>
                <w:szCs w:val="20"/>
                <w:rFonts w:eastAsia="Times New Roman" w:cs="Times New Roman"/>
                <w:lang w:eastAsia="pt-BR"/>
              </w:rPr>
            </w:pPr>
            <w:r>
              <w:rPr>
                <w:rFonts w:ascii="Times New Roman" w:hAnsi="Times New Roman"/>
                <w:sz w:val="24"/>
                <w:szCs w:val="20"/>
                <w:shd w:fill="FFFFFF" w:val="clear"/>
              </w:rPr>
              <w:t>Não há registro dos dados de reincidência.</w:t>
            </w:r>
            <w:r/>
          </w:p>
        </w:tc>
        <w:tc>
          <w:tcPr>
            <w:tcW w:w="3554" w:type="dxa"/>
            <w:tcBorders/>
            <w:shd w:color="auto" w:fill="auto" w:val="clear"/>
            <w:tcMar>
              <w:left w:w="-10" w:type="dxa"/>
            </w:tcMar>
          </w:tcPr>
          <w:p>
            <w:pPr>
              <w:pStyle w:val="Normal"/>
              <w:spacing w:lineRule="auto" w:line="240" w:before="0" w:after="0"/>
              <w:jc w:val="both"/>
            </w:pPr>
            <w:r>
              <w:rPr>
                <w:rFonts w:eastAsia="Times New Roman" w:cs="Times New Roman" w:ascii="Times New Roman" w:hAnsi="Times New Roman"/>
                <w:sz w:val="24"/>
                <w:szCs w:val="20"/>
                <w:shd w:fill="FFFFFF" w:val="clear"/>
                <w:lang w:eastAsia="pt-BR"/>
              </w:rPr>
              <w:t>Centro Universitário de Maringá (UNICESUMAR) e 5ª Vara Criminal Maringá e Centro de Referência de Atendimento à mulher Maringá (CRAMM).</w:t>
            </w:r>
            <w:r/>
          </w:p>
        </w:tc>
        <w:tc>
          <w:tcPr>
            <w:tcW w:w="6138" w:type="dxa"/>
            <w:tcBorders/>
            <w:shd w:color="auto" w:fill="auto" w:val="clear"/>
            <w:tcMar>
              <w:left w:w="-10" w:type="dxa"/>
            </w:tcMar>
          </w:tcPr>
          <w:p>
            <w:pPr>
              <w:pStyle w:val="Normal"/>
              <w:spacing w:lineRule="auto" w:line="240" w:before="0" w:after="0"/>
              <w:jc w:val="both"/>
              <w:rPr>
                <w:sz w:val="20"/>
                <w:sz w:val="20"/>
                <w:szCs w:val="20"/>
              </w:rPr>
            </w:pPr>
            <w:r>
              <w:rPr>
                <w:rFonts w:ascii="Times New Roman" w:hAnsi="Times New Roman"/>
                <w:sz w:val="24"/>
                <w:szCs w:val="20"/>
                <w:shd w:fill="FFFFFF" w:val="clear"/>
              </w:rPr>
              <w:t>Intervenções multidisciplinares, realizadas por acadêmicos de Serviço Social, Psicologia e Direito, dirigidas a agressores de mulheres vítimas de violência, encaminhados pelas Promotorias de Justiça e Varas de atuação na Lei Maria da Penha.</w:t>
            </w:r>
            <w:r/>
          </w:p>
        </w:tc>
      </w:tr>
      <w:tr>
        <w:trPr>
          <w:trHeight w:val="1398" w:hRule="atLeast"/>
        </w:trPr>
        <w:tc>
          <w:tcPr>
            <w:tcW w:w="2115" w:type="dxa"/>
            <w:tcBorders/>
            <w:shd w:color="auto" w:fill="auto" w:val="clear"/>
            <w:tcMar>
              <w:left w:w="-10" w:type="dxa"/>
            </w:tcMar>
          </w:tcPr>
          <w:p>
            <w:pPr>
              <w:pStyle w:val="Normal"/>
              <w:spacing w:lineRule="auto" w:line="240" w:before="0" w:after="0"/>
              <w:jc w:val="both"/>
              <w:rPr>
                <w:sz w:val="20"/>
                <w:sz w:val="20"/>
                <w:szCs w:val="20"/>
                <w:rFonts w:eastAsia="Times New Roman" w:cs="Times New Roman"/>
                <w:lang w:eastAsia="pt-BR"/>
              </w:rPr>
            </w:pPr>
            <w:bookmarkStart w:id="1" w:name="__DdeLink__760_1057790162"/>
            <w:bookmarkEnd w:id="1"/>
            <w:r>
              <w:rPr>
                <w:rFonts w:eastAsia="Times New Roman" w:cs="Times New Roman" w:ascii="Times New Roman" w:hAnsi="Times New Roman"/>
                <w:b/>
                <w:bCs/>
                <w:sz w:val="24"/>
                <w:szCs w:val="20"/>
                <w:shd w:fill="FFFFFF" w:val="clear"/>
                <w:lang w:eastAsia="pt-BR"/>
              </w:rPr>
              <w:t>Atendimento aos Autores de Violência Domestica e “Amor Exigente”</w:t>
            </w:r>
            <w:r/>
          </w:p>
        </w:tc>
        <w:tc>
          <w:tcPr>
            <w:tcW w:w="1469" w:type="dxa"/>
            <w:tcBorders/>
            <w:shd w:color="auto" w:fill="auto" w:val="clear"/>
            <w:tcMar>
              <w:left w:w="-10" w:type="dxa"/>
            </w:tcMar>
          </w:tcPr>
          <w:p>
            <w:pPr>
              <w:pStyle w:val="Normal"/>
              <w:spacing w:lineRule="auto" w:line="240" w:before="0" w:after="0"/>
              <w:jc w:val="both"/>
              <w:rPr>
                <w:shd w:fill="FFFFFF" w:val="clear"/>
              </w:rPr>
            </w:pPr>
            <w:r>
              <w:rPr>
                <w:rFonts w:ascii="Times New Roman" w:hAnsi="Times New Roman"/>
                <w:sz w:val="24"/>
                <w:szCs w:val="20"/>
                <w:shd w:fill="FFFFFF" w:val="clear"/>
              </w:rPr>
              <w:t>Sarandi</w:t>
            </w:r>
            <w:r/>
          </w:p>
        </w:tc>
        <w:tc>
          <w:tcPr>
            <w:tcW w:w="1919" w:type="dxa"/>
            <w:tcBorders/>
            <w:shd w:color="auto" w:fill="auto" w:val="clear"/>
            <w:tcMar>
              <w:left w:w="-10" w:type="dxa"/>
            </w:tcMar>
          </w:tcPr>
          <w:p>
            <w:pPr>
              <w:pStyle w:val="Normal"/>
              <w:spacing w:lineRule="auto" w:line="240" w:before="0" w:after="0"/>
              <w:jc w:val="both"/>
              <w:rPr>
                <w:sz w:val="20"/>
                <w:sz w:val="20"/>
                <w:szCs w:val="20"/>
              </w:rPr>
            </w:pPr>
            <w:r>
              <w:rPr>
                <w:rFonts w:ascii="Times New Roman" w:hAnsi="Times New Roman"/>
                <w:sz w:val="24"/>
                <w:szCs w:val="20"/>
                <w:shd w:fill="FFFFFF" w:val="clear"/>
              </w:rPr>
              <w:t>Não há registro dos dados de reincidência.</w:t>
            </w:r>
            <w:r/>
          </w:p>
        </w:tc>
        <w:tc>
          <w:tcPr>
            <w:tcW w:w="3554" w:type="dxa"/>
            <w:tcBorders/>
            <w:shd w:color="auto" w:fill="auto" w:val="clear"/>
            <w:tcMar>
              <w:left w:w="-10" w:type="dxa"/>
            </w:tcMar>
          </w:tcPr>
          <w:p>
            <w:pPr>
              <w:pStyle w:val="Normal"/>
              <w:spacing w:lineRule="auto" w:line="240" w:before="0" w:after="0"/>
              <w:jc w:val="both"/>
              <w:rPr>
                <w:sz w:val="20"/>
                <w:sz w:val="20"/>
                <w:szCs w:val="20"/>
              </w:rPr>
            </w:pPr>
            <w:r>
              <w:rPr>
                <w:rFonts w:eastAsia="Times New Roman" w:cs="Times New Roman" w:ascii="Times New Roman" w:hAnsi="Times New Roman"/>
                <w:sz w:val="24"/>
                <w:szCs w:val="20"/>
                <w:shd w:fill="FFFFFF" w:val="clear"/>
                <w:lang w:eastAsia="pt-BR"/>
              </w:rPr>
              <w:t xml:space="preserve">Faculdade Metropolitana de Maringá (FAMMA), por meio do Núcleo de Prática Jurídica e Clínica de Psicologia, em conjunto com a 2ª Vara Criminal. </w:t>
            </w:r>
            <w:r/>
          </w:p>
        </w:tc>
        <w:tc>
          <w:tcPr>
            <w:tcW w:w="6138" w:type="dxa"/>
            <w:tcBorders/>
            <w:shd w:color="auto" w:fill="auto" w:val="clear"/>
            <w:tcMar>
              <w:left w:w="-10" w:type="dxa"/>
            </w:tcMar>
          </w:tcPr>
          <w:p>
            <w:pPr>
              <w:pStyle w:val="Normal"/>
              <w:spacing w:lineRule="auto" w:line="240" w:before="0" w:after="0"/>
              <w:jc w:val="both"/>
              <w:rPr>
                <w:sz w:val="20"/>
                <w:sz w:val="20"/>
                <w:szCs w:val="20"/>
              </w:rPr>
            </w:pPr>
            <w:r>
              <w:rPr>
                <w:rFonts w:ascii="Times New Roman" w:hAnsi="Times New Roman"/>
                <w:sz w:val="24"/>
                <w:szCs w:val="20"/>
                <w:shd w:fill="FFFFFF" w:val="clear"/>
              </w:rPr>
              <w:t xml:space="preserve">Realização de grupos e palestras com homens condenados pela prática de crimes vinculados à violência doméstica ou na aplicação de pena restritiva de direitos em substituição à pena privativa de liberdade, ou como condição para regime aberto. </w:t>
            </w:r>
            <w:r/>
          </w:p>
        </w:tc>
      </w:tr>
      <w:tr>
        <w:trPr>
          <w:trHeight w:val="1992" w:hRule="atLeast"/>
        </w:trPr>
        <w:tc>
          <w:tcPr>
            <w:tcW w:w="2115" w:type="dxa"/>
            <w:tcBorders/>
            <w:shd w:color="auto" w:fill="CCCCCC" w:val="clear"/>
            <w:tcMar>
              <w:left w:w="-10" w:type="dxa"/>
            </w:tcMar>
          </w:tcPr>
          <w:p>
            <w:pPr>
              <w:pStyle w:val="Normal"/>
              <w:spacing w:lineRule="auto" w:line="240" w:before="0" w:after="0"/>
              <w:jc w:val="both"/>
              <w:rPr>
                <w:sz w:val="20"/>
                <w:sz w:val="20"/>
                <w:szCs w:val="20"/>
                <w:rFonts w:eastAsia="Times New Roman" w:cs="Times New Roman"/>
                <w:lang w:eastAsia="pt-BR"/>
              </w:rPr>
            </w:pPr>
            <w:r>
              <w:rPr>
                <w:rFonts w:eastAsia="Times New Roman" w:cs="Times New Roman" w:ascii="Times New Roman" w:hAnsi="Times New Roman"/>
                <w:b/>
                <w:bCs/>
                <w:sz w:val="24"/>
                <w:szCs w:val="20"/>
                <w:shd w:fill="FFFFFF" w:val="clear"/>
                <w:lang w:eastAsia="pt-BR"/>
              </w:rPr>
              <w:t>Projeto para a criação de grupos de apoio às vítimas e periódicas palestras aos autores de crimes de violência doméstica e familiar</w:t>
            </w:r>
            <w:r/>
          </w:p>
        </w:tc>
        <w:tc>
          <w:tcPr>
            <w:tcW w:w="1469" w:type="dxa"/>
            <w:tcBorders/>
            <w:shd w:color="auto" w:fill="CCCCCC" w:val="clear"/>
            <w:tcMar>
              <w:left w:w="-10" w:type="dxa"/>
            </w:tcMar>
          </w:tcPr>
          <w:p>
            <w:pPr>
              <w:pStyle w:val="Normal"/>
              <w:spacing w:lineRule="auto" w:line="240" w:before="0" w:after="0"/>
              <w:jc w:val="both"/>
              <w:rPr>
                <w:shd w:fill="FF0000" w:val="clear"/>
              </w:rPr>
            </w:pPr>
            <w:r>
              <w:rPr>
                <w:rFonts w:ascii="Times New Roman" w:hAnsi="Times New Roman"/>
                <w:sz w:val="24"/>
                <w:szCs w:val="20"/>
                <w:shd w:fill="FFFFFF" w:val="clear"/>
              </w:rPr>
              <w:t>Mallet</w:t>
            </w:r>
            <w:r/>
          </w:p>
          <w:p>
            <w:pPr>
              <w:pStyle w:val="Normal"/>
              <w:spacing w:lineRule="auto" w:line="240" w:before="0" w:after="0"/>
              <w:jc w:val="both"/>
              <w:rPr>
                <w:sz w:val="24"/>
                <w:sz w:val="24"/>
                <w:szCs w:val="20"/>
                <w:rFonts w:ascii="Times New Roman" w:hAnsi="Times New Roman" w:eastAsia="Calibri" w:cs=""/>
                <w:color w:val="00000A"/>
                <w:lang w:val="pt-BR" w:eastAsia="en-US" w:bidi="ar-SA"/>
              </w:rPr>
            </w:pPr>
            <w:r>
              <w:rPr>
                <w:rFonts w:ascii="Times New Roman" w:hAnsi="Times New Roman"/>
                <w:sz w:val="24"/>
                <w:szCs w:val="20"/>
              </w:rPr>
            </w:r>
            <w:r/>
          </w:p>
        </w:tc>
        <w:tc>
          <w:tcPr>
            <w:tcW w:w="1919" w:type="dxa"/>
            <w:tcBorders/>
            <w:shd w:color="auto" w:fill="CCCCCC" w:val="clear"/>
            <w:tcMar>
              <w:left w:w="-10" w:type="dxa"/>
            </w:tcMar>
          </w:tcPr>
          <w:p>
            <w:pPr>
              <w:pStyle w:val="Normal"/>
              <w:spacing w:lineRule="auto" w:line="240" w:before="0" w:after="0"/>
              <w:jc w:val="both"/>
            </w:pPr>
            <w:r>
              <w:rPr>
                <w:rFonts w:ascii="Times New Roman" w:hAnsi="Times New Roman"/>
                <w:sz w:val="24"/>
                <w:szCs w:val="20"/>
              </w:rPr>
              <w:t>Não há registro dos dados de reincidência.</w:t>
            </w:r>
            <w:r/>
          </w:p>
          <w:p>
            <w:pPr>
              <w:pStyle w:val="Normal"/>
              <w:spacing w:lineRule="auto" w:line="240" w:before="0" w:after="0"/>
              <w:jc w:val="both"/>
              <w:rPr>
                <w:sz w:val="20"/>
                <w:sz w:val="20"/>
                <w:szCs w:val="20"/>
                <w:rFonts w:ascii="Times New Roman" w:hAnsi="Times New Roman" w:eastAsia="Calibri" w:cs=""/>
                <w:color w:val="00000A"/>
                <w:lang w:val="pt-BR" w:eastAsia="en-US" w:bidi="ar-SA"/>
              </w:rPr>
            </w:pPr>
            <w:r>
              <w:rPr>
                <w:rFonts w:ascii="Times New Roman" w:hAnsi="Times New Roman"/>
                <w:sz w:val="20"/>
                <w:szCs w:val="20"/>
              </w:rPr>
            </w:r>
            <w:r/>
          </w:p>
        </w:tc>
        <w:tc>
          <w:tcPr>
            <w:tcW w:w="3554" w:type="dxa"/>
            <w:tcBorders/>
            <w:shd w:color="auto" w:fill="CCCCCC" w:val="clear"/>
            <w:tcMar>
              <w:left w:w="-10" w:type="dxa"/>
            </w:tcMar>
          </w:tcPr>
          <w:p>
            <w:pPr>
              <w:pStyle w:val="Normal"/>
              <w:shd w:val="clear" w:color="000000" w:themeColor="" w:themeTint="" w:themeShade="" w:fill="CCCCCC" w:themeFill="" w:themeFillTint="" w:themeFillShade=""/>
              <w:spacing w:lineRule="auto" w:line="240" w:before="0" w:after="0"/>
              <w:jc w:val="both"/>
            </w:pPr>
            <w:r>
              <w:rPr>
                <w:rFonts w:ascii="Times New Roman" w:hAnsi="Times New Roman"/>
                <w:sz w:val="24"/>
              </w:rPr>
              <w:t xml:space="preserve">Ministério Público, Vara Criminal e </w:t>
            </w:r>
            <w:bookmarkStart w:id="2" w:name="__DdeLink__489_1291026721"/>
            <w:r>
              <w:rPr>
                <w:rFonts w:ascii="Times New Roman" w:hAnsi="Times New Roman"/>
                <w:sz w:val="24"/>
              </w:rPr>
              <w:t>Secretarias de Assistência Social de Mallet</w:t>
            </w:r>
            <w:bookmarkEnd w:id="2"/>
            <w:r>
              <w:rPr>
                <w:rFonts w:ascii="Times New Roman" w:hAnsi="Times New Roman"/>
                <w:sz w:val="24"/>
              </w:rPr>
              <w:t xml:space="preserve"> e Paulo Foutrin.</w:t>
            </w:r>
            <w:r/>
          </w:p>
          <w:p>
            <w:pPr>
              <w:pStyle w:val="Normal"/>
              <w:shd w:val="clear" w:color="000000" w:themeColor="" w:themeTint="" w:themeShade="" w:fill="CCCCCC" w:themeFill="" w:themeFillTint="" w:themeFillShade=""/>
              <w:spacing w:lineRule="auto" w:line="240" w:before="0" w:after="0"/>
              <w:jc w:val="both"/>
              <w:rPr>
                <w:sz w:val="22"/>
                <w:sz w:val="22"/>
                <w:szCs w:val="22"/>
                <w:rFonts w:ascii="Times New Roman" w:hAnsi="Times New Roman" w:eastAsia="Calibri" w:cs=""/>
                <w:color w:val="00000A"/>
                <w:lang w:val="pt-BR" w:eastAsia="en-US" w:bidi="ar-SA"/>
              </w:rPr>
            </w:pPr>
            <w:r>
              <w:rPr>
                <w:rFonts w:ascii="Times New Roman" w:hAnsi="Times New Roman"/>
              </w:rPr>
            </w:r>
            <w:r/>
          </w:p>
        </w:tc>
        <w:tc>
          <w:tcPr>
            <w:tcW w:w="6138" w:type="dxa"/>
            <w:tcBorders/>
            <w:shd w:color="auto" w:fill="CCCCCC" w:val="clear"/>
            <w:tcMar>
              <w:left w:w="-10" w:type="dxa"/>
            </w:tcMar>
          </w:tcPr>
          <w:p>
            <w:pPr>
              <w:pStyle w:val="Normal"/>
              <w:spacing w:lineRule="auto" w:line="240" w:before="0" w:after="0"/>
              <w:jc w:val="both"/>
            </w:pPr>
            <w:r>
              <w:rPr>
                <w:rFonts w:ascii="Times New Roman" w:hAnsi="Times New Roman"/>
                <w:sz w:val="24"/>
                <w:szCs w:val="20"/>
              </w:rPr>
              <w:t xml:space="preserve">Realização de palestras aos autores de crimes de violência doméstica e familiar, como uma das formas de cumprimento das medidas protetivas </w:t>
            </w:r>
            <w:r>
              <w:rPr>
                <w:rFonts w:eastAsia="Times New Roman" w:cs="Times New Roman" w:ascii="Times New Roman" w:hAnsi="Times New Roman"/>
                <w:sz w:val="24"/>
                <w:szCs w:val="20"/>
                <w:lang w:eastAsia="pt-BR"/>
              </w:rPr>
              <w:t>previstas no artigo 22 da Lei Maria da Penha e reuniões de grupos de apoio às vítimas.</w:t>
            </w:r>
            <w:r/>
          </w:p>
        </w:tc>
      </w:tr>
      <w:tr>
        <w:trPr>
          <w:trHeight w:val="1651" w:hRule="atLeast"/>
        </w:trPr>
        <w:tc>
          <w:tcPr>
            <w:tcW w:w="2115" w:type="dxa"/>
            <w:tcBorders/>
            <w:shd w:color="auto" w:fill="FFFFFF" w:val="clear"/>
            <w:tcMar>
              <w:left w:w="-10" w:type="dxa"/>
            </w:tcMar>
          </w:tcPr>
          <w:p>
            <w:pPr>
              <w:pStyle w:val="Normal"/>
              <w:spacing w:lineRule="auto" w:line="240" w:before="0" w:after="0"/>
              <w:jc w:val="both"/>
              <w:rPr>
                <w:sz w:val="20"/>
                <w:sz w:val="20"/>
                <w:szCs w:val="20"/>
                <w:rFonts w:eastAsia="Times New Roman" w:cs="Times New Roman"/>
                <w:lang w:eastAsia="pt-BR"/>
              </w:rPr>
            </w:pPr>
            <w:r>
              <w:rPr>
                <w:rFonts w:eastAsia="Times New Roman" w:cs="Times New Roman" w:ascii="Times New Roman" w:hAnsi="Times New Roman"/>
                <w:b/>
                <w:bCs/>
                <w:sz w:val="24"/>
                <w:szCs w:val="20"/>
                <w:lang w:eastAsia="pt-BR"/>
              </w:rPr>
              <w:t>Grupo Reflexivo para Homens</w:t>
            </w:r>
            <w:r/>
          </w:p>
        </w:tc>
        <w:tc>
          <w:tcPr>
            <w:tcW w:w="1469" w:type="dxa"/>
            <w:tcBorders/>
            <w:shd w:color="auto" w:fill="FFFFFF" w:val="clear"/>
            <w:tcMar>
              <w:left w:w="-10" w:type="dxa"/>
            </w:tcMar>
          </w:tcPr>
          <w:p>
            <w:pPr>
              <w:pStyle w:val="Normal"/>
              <w:spacing w:lineRule="auto" w:line="240" w:before="0" w:after="0"/>
              <w:jc w:val="both"/>
            </w:pPr>
            <w:r>
              <w:rPr>
                <w:rFonts w:ascii="Times New Roman" w:hAnsi="Times New Roman"/>
                <w:sz w:val="24"/>
                <w:szCs w:val="20"/>
              </w:rPr>
              <w:t xml:space="preserve">Medianeira </w:t>
            </w:r>
            <w:r/>
          </w:p>
        </w:tc>
        <w:tc>
          <w:tcPr>
            <w:tcW w:w="1919" w:type="dxa"/>
            <w:tcBorders/>
            <w:shd w:color="auto" w:fill="FFFFFF" w:val="clear"/>
            <w:tcMar>
              <w:left w:w="-10" w:type="dxa"/>
            </w:tcMar>
          </w:tcPr>
          <w:p>
            <w:pPr>
              <w:pStyle w:val="Normal"/>
              <w:spacing w:lineRule="auto" w:line="240" w:before="0" w:after="0"/>
              <w:jc w:val="both"/>
              <w:rPr>
                <w:sz w:val="20"/>
                <w:sz w:val="20"/>
                <w:szCs w:val="20"/>
              </w:rPr>
            </w:pPr>
            <w:r>
              <w:rPr>
                <w:rFonts w:ascii="Times New Roman" w:hAnsi="Times New Roman"/>
                <w:sz w:val="24"/>
                <w:szCs w:val="20"/>
              </w:rPr>
              <w:t>Não há registro dos dados de reincidência.</w:t>
            </w:r>
            <w:r/>
          </w:p>
        </w:tc>
        <w:tc>
          <w:tcPr>
            <w:tcW w:w="3554" w:type="dxa"/>
            <w:tcBorders/>
            <w:shd w:color="auto" w:fill="FFFFFF" w:val="clear"/>
            <w:tcMar>
              <w:left w:w="-10" w:type="dxa"/>
            </w:tcMar>
          </w:tcPr>
          <w:p>
            <w:pPr>
              <w:pStyle w:val="Normal"/>
              <w:spacing w:lineRule="auto" w:line="240" w:before="0" w:after="0"/>
              <w:jc w:val="both"/>
              <w:rPr>
                <w:sz w:val="20"/>
                <w:sz w:val="20"/>
                <w:szCs w:val="20"/>
                <w:rFonts w:eastAsia="Times New Roman" w:cs="Times New Roman"/>
                <w:lang w:eastAsia="pt-BR"/>
              </w:rPr>
            </w:pPr>
            <w:r>
              <w:rPr>
                <w:rFonts w:eastAsia="Times New Roman" w:cs="Times New Roman" w:ascii="Times New Roman" w:hAnsi="Times New Roman"/>
                <w:sz w:val="24"/>
                <w:szCs w:val="20"/>
                <w:lang w:eastAsia="pt-BR"/>
              </w:rPr>
              <w:t>Poder Judiciário, Ministério Público e Prefeitura Municipal.</w:t>
            </w:r>
            <w:r/>
          </w:p>
        </w:tc>
        <w:tc>
          <w:tcPr>
            <w:tcW w:w="6138" w:type="dxa"/>
            <w:tcBorders/>
            <w:shd w:color="auto" w:fill="FFFFFF" w:val="clear"/>
            <w:tcMar>
              <w:left w:w="-10" w:type="dxa"/>
            </w:tcMar>
          </w:tcPr>
          <w:p>
            <w:pPr>
              <w:pStyle w:val="Normal"/>
              <w:spacing w:lineRule="auto" w:line="240" w:before="0" w:after="0"/>
              <w:jc w:val="both"/>
              <w:rPr>
                <w:sz w:val="20"/>
                <w:sz w:val="20"/>
                <w:szCs w:val="20"/>
              </w:rPr>
            </w:pPr>
            <w:r>
              <w:rPr>
                <w:rFonts w:ascii="Times New Roman" w:hAnsi="Times New Roman"/>
                <w:sz w:val="24"/>
                <w:szCs w:val="20"/>
              </w:rPr>
              <w:t>Realização de programas voltados à repressão/ conscientização dos males ocasionados pela violência doméstica, cuja frequência é fixada como condição do regime aberto aos sentenciados condenados pela prática de crimes nos termos da Lei Maria da Penha.</w:t>
            </w:r>
            <w:r/>
          </w:p>
        </w:tc>
      </w:tr>
      <w:tr>
        <w:trPr>
          <w:trHeight w:val="1113" w:hRule="atLeast"/>
        </w:trPr>
        <w:tc>
          <w:tcPr>
            <w:tcW w:w="2115" w:type="dxa"/>
            <w:tcBorders/>
            <w:shd w:color="auto" w:fill="CCCCCC" w:val="clear"/>
            <w:tcMar>
              <w:left w:w="-10" w:type="dxa"/>
            </w:tcMar>
          </w:tcPr>
          <w:p>
            <w:pPr>
              <w:pStyle w:val="Normal"/>
              <w:spacing w:lineRule="auto" w:line="240" w:before="0" w:after="0"/>
              <w:rPr>
                <w:sz w:val="20"/>
                <w:sz w:val="20"/>
                <w:szCs w:val="20"/>
                <w:rFonts w:eastAsia="Times New Roman" w:cs="Times New Roman"/>
                <w:lang w:eastAsia="pt-BR"/>
              </w:rPr>
            </w:pPr>
            <w:r>
              <w:rPr>
                <w:rFonts w:eastAsia="Times New Roman" w:cs="Times New Roman" w:ascii="Times New Roman" w:hAnsi="Times New Roman"/>
                <w:b/>
                <w:bCs/>
                <w:sz w:val="24"/>
                <w:szCs w:val="20"/>
                <w:lang w:eastAsia="pt-BR"/>
              </w:rPr>
              <w:t>Convênio com o Poder Judiciário e Municipalidades para fixação de regime aberto aos sentenciados condenados pela Lei Maria da Penha, a frequência a programas voltados à conscientização acerca da Violência Doméstica</w:t>
            </w:r>
            <w:r/>
          </w:p>
        </w:tc>
        <w:tc>
          <w:tcPr>
            <w:tcW w:w="1469" w:type="dxa"/>
            <w:tcBorders/>
            <w:shd w:color="auto" w:fill="CCCCCC" w:val="clear"/>
            <w:tcMar>
              <w:left w:w="-10" w:type="dxa"/>
            </w:tcMar>
          </w:tcPr>
          <w:p>
            <w:pPr>
              <w:pStyle w:val="Normal"/>
              <w:spacing w:lineRule="auto" w:line="240" w:before="0" w:after="0"/>
              <w:jc w:val="both"/>
            </w:pPr>
            <w:r>
              <w:rPr>
                <w:rFonts w:ascii="Times New Roman" w:hAnsi="Times New Roman"/>
                <w:sz w:val="24"/>
                <w:szCs w:val="20"/>
              </w:rPr>
              <w:t>Cândido de Abreu</w:t>
            </w:r>
            <w:r/>
          </w:p>
        </w:tc>
        <w:tc>
          <w:tcPr>
            <w:tcW w:w="1919" w:type="dxa"/>
            <w:tcBorders/>
            <w:shd w:color="auto" w:fill="CCCCCC" w:val="clear"/>
            <w:tcMar>
              <w:left w:w="-10" w:type="dxa"/>
            </w:tcMar>
          </w:tcPr>
          <w:p>
            <w:pPr>
              <w:pStyle w:val="Normal"/>
              <w:spacing w:lineRule="auto" w:line="240" w:before="0" w:after="0"/>
              <w:jc w:val="both"/>
              <w:rPr>
                <w:sz w:val="20"/>
                <w:sz w:val="20"/>
                <w:szCs w:val="20"/>
              </w:rPr>
            </w:pPr>
            <w:r>
              <w:rPr>
                <w:rFonts w:ascii="Times New Roman" w:hAnsi="Times New Roman"/>
                <w:sz w:val="24"/>
                <w:szCs w:val="20"/>
              </w:rPr>
              <w:t>Não há registro dos dados de reincidência.</w:t>
            </w:r>
            <w:r/>
          </w:p>
        </w:tc>
        <w:tc>
          <w:tcPr>
            <w:tcW w:w="3554" w:type="dxa"/>
            <w:tcBorders/>
            <w:shd w:color="auto" w:fill="CCCCCC" w:val="clear"/>
            <w:tcMar>
              <w:left w:w="-10" w:type="dxa"/>
            </w:tcMar>
          </w:tcPr>
          <w:p>
            <w:pPr>
              <w:pStyle w:val="Normal"/>
              <w:spacing w:lineRule="auto" w:line="240" w:before="0" w:after="0"/>
              <w:jc w:val="both"/>
            </w:pPr>
            <w:r>
              <w:rPr>
                <w:rFonts w:eastAsia="Times New Roman" w:cs="Times New Roman" w:ascii="Times New Roman" w:hAnsi="Times New Roman"/>
                <w:sz w:val="24"/>
                <w:szCs w:val="20"/>
                <w:lang w:eastAsia="pt-BR"/>
              </w:rPr>
              <w:t>Poder Judiciário e Município</w:t>
            </w:r>
            <w:r/>
          </w:p>
        </w:tc>
        <w:tc>
          <w:tcPr>
            <w:tcW w:w="6138" w:type="dxa"/>
            <w:tcBorders/>
            <w:shd w:color="auto" w:fill="CCCCCC" w:val="clear"/>
            <w:tcMar>
              <w:left w:w="-10" w:type="dxa"/>
            </w:tcMar>
          </w:tcPr>
          <w:p>
            <w:pPr>
              <w:pStyle w:val="Normal"/>
              <w:spacing w:lineRule="auto" w:line="240" w:before="0" w:after="0"/>
              <w:jc w:val="both"/>
            </w:pPr>
            <w:r>
              <w:rPr>
                <w:rFonts w:eastAsia="Times New Roman" w:cs="Times New Roman" w:ascii="Times New Roman" w:hAnsi="Times New Roman"/>
                <w:sz w:val="24"/>
                <w:szCs w:val="20"/>
                <w:lang w:eastAsia="pt-BR"/>
              </w:rPr>
              <w:t>Realização de palestras aos agressores realizadas periodicamente no fórum da comarca, com assistentes sociais. As palestras serão determinadas como uma das formas de cumprimento das Medidas Protetivas previstas no artigo 22 da Lei Maria da Penha, bem como condição imposta na sentença.</w:t>
            </w:r>
            <w:r/>
          </w:p>
        </w:tc>
      </w:tr>
      <w:tr>
        <w:trPr>
          <w:trHeight w:val="693" w:hRule="atLeast"/>
        </w:trPr>
        <w:tc>
          <w:tcPr>
            <w:tcW w:w="2115" w:type="dxa"/>
            <w:tcBorders/>
            <w:shd w:color="auto" w:fill="FFFFFF" w:val="clear"/>
            <w:tcMar>
              <w:left w:w="-10" w:type="dxa"/>
            </w:tcMar>
          </w:tcPr>
          <w:p>
            <w:pPr>
              <w:pStyle w:val="Normal"/>
              <w:spacing w:lineRule="auto" w:line="240" w:before="0" w:after="0"/>
              <w:rPr>
                <w:sz w:val="20"/>
                <w:sz w:val="20"/>
                <w:szCs w:val="20"/>
                <w:rFonts w:eastAsia="Times New Roman" w:cs="Times New Roman"/>
                <w:lang w:eastAsia="pt-BR"/>
              </w:rPr>
            </w:pPr>
            <w:r>
              <w:rPr>
                <w:rFonts w:eastAsia="" w:cs="Times New Roman" w:ascii="Times New Roman" w:hAnsi="Times New Roman" w:eastAsiaTheme="majorEastAsia"/>
                <w:b/>
                <w:bCs/>
                <w:sz w:val="24"/>
                <w:szCs w:val="20"/>
                <w:shd w:fill="FFFFFF" w:val="clear"/>
              </w:rPr>
              <w:t>Reunião com grupos especializados.</w:t>
            </w:r>
            <w:r/>
          </w:p>
        </w:tc>
        <w:tc>
          <w:tcPr>
            <w:tcW w:w="1469" w:type="dxa"/>
            <w:tcBorders/>
            <w:shd w:color="auto" w:fill="FFFFFF" w:val="clear"/>
            <w:tcMar>
              <w:left w:w="-10" w:type="dxa"/>
            </w:tcMar>
          </w:tcPr>
          <w:p>
            <w:pPr>
              <w:pStyle w:val="Normal"/>
              <w:spacing w:lineRule="auto" w:line="240" w:before="0" w:after="0"/>
              <w:jc w:val="both"/>
              <w:rPr>
                <w:shd w:fill="FFFFFF" w:val="clear"/>
              </w:rPr>
            </w:pPr>
            <w:r>
              <w:rPr>
                <w:rFonts w:eastAsia="Times New Roman" w:cs="Times New Roman" w:ascii="Times New Roman" w:hAnsi="Times New Roman"/>
                <w:sz w:val="24"/>
                <w:szCs w:val="20"/>
                <w:shd w:fill="FFFFFF" w:val="clear"/>
                <w:lang w:eastAsia="pt-BR"/>
              </w:rPr>
              <w:t>Joaquim Távora</w:t>
            </w:r>
            <w:r/>
          </w:p>
        </w:tc>
        <w:tc>
          <w:tcPr>
            <w:tcW w:w="1919" w:type="dxa"/>
            <w:tcBorders/>
            <w:shd w:color="auto" w:fill="FFFFFF" w:val="clear"/>
            <w:tcMar>
              <w:left w:w="-10" w:type="dxa"/>
            </w:tcMar>
          </w:tcPr>
          <w:p>
            <w:pPr>
              <w:pStyle w:val="Normal"/>
              <w:spacing w:lineRule="auto" w:line="240" w:before="0" w:after="0"/>
              <w:jc w:val="both"/>
              <w:rPr>
                <w:sz w:val="20"/>
                <w:sz w:val="20"/>
                <w:szCs w:val="20"/>
              </w:rPr>
            </w:pPr>
            <w:r>
              <w:rPr>
                <w:rFonts w:ascii="Times New Roman" w:hAnsi="Times New Roman"/>
                <w:sz w:val="24"/>
                <w:szCs w:val="20"/>
              </w:rPr>
              <w:t>Não há registro dos dados de reincidência.</w:t>
            </w:r>
            <w:r/>
          </w:p>
        </w:tc>
        <w:tc>
          <w:tcPr>
            <w:tcW w:w="3554" w:type="dxa"/>
            <w:tcBorders/>
            <w:shd w:color="auto" w:fill="FFFFFF" w:val="clear"/>
            <w:tcMar>
              <w:left w:w="-10" w:type="dxa"/>
            </w:tcMar>
          </w:tcPr>
          <w:p>
            <w:pPr>
              <w:pStyle w:val="Normal"/>
              <w:spacing w:lineRule="auto" w:line="240" w:before="0" w:after="0"/>
              <w:jc w:val="both"/>
              <w:rPr>
                <w:sz w:val="20"/>
                <w:sz w:val="20"/>
                <w:szCs w:val="20"/>
                <w:rFonts w:eastAsia="Times New Roman" w:cs="Times New Roman"/>
                <w:lang w:eastAsia="pt-BR"/>
              </w:rPr>
            </w:pPr>
            <w:r>
              <w:rPr>
                <w:rFonts w:cs="Times New Roman" w:ascii="Times New Roman" w:hAnsi="Times New Roman"/>
                <w:sz w:val="24"/>
                <w:szCs w:val="20"/>
              </w:rPr>
              <w:t>Integração Ministério Público, Polícia Militar, Polícia Civil, Municípios e Secretarias</w:t>
            </w:r>
            <w:r/>
          </w:p>
        </w:tc>
        <w:tc>
          <w:tcPr>
            <w:tcW w:w="6138" w:type="dxa"/>
            <w:tcBorders/>
            <w:shd w:color="auto" w:fill="FFFFFF" w:val="clear"/>
            <w:tcMar>
              <w:left w:w="-10" w:type="dxa"/>
            </w:tcMar>
          </w:tcPr>
          <w:p>
            <w:pPr>
              <w:pStyle w:val="Normal"/>
              <w:spacing w:lineRule="auto" w:line="240" w:before="0" w:after="0"/>
              <w:jc w:val="both"/>
            </w:pPr>
            <w:r>
              <w:rPr>
                <w:rFonts w:cs="Times New Roman" w:ascii="Times New Roman" w:hAnsi="Times New Roman"/>
                <w:sz w:val="24"/>
                <w:szCs w:val="20"/>
              </w:rPr>
              <w:t>Reunião com grupos especializados para combater a criminalidade.</w:t>
            </w:r>
            <w:r/>
          </w:p>
        </w:tc>
      </w:tr>
      <w:tr>
        <w:trPr>
          <w:trHeight w:val="693" w:hRule="atLeast"/>
        </w:trPr>
        <w:tc>
          <w:tcPr>
            <w:tcW w:w="2115" w:type="dxa"/>
            <w:tcBorders/>
            <w:shd w:color="auto" w:fill="CCCCCC" w:val="clear"/>
            <w:tcMar>
              <w:left w:w="-10" w:type="dxa"/>
            </w:tcMar>
          </w:tcPr>
          <w:p>
            <w:pPr>
              <w:pStyle w:val="Normal"/>
              <w:spacing w:lineRule="auto" w:line="240" w:before="0" w:after="0"/>
            </w:pPr>
            <w:r>
              <w:rPr>
                <w:rFonts w:eastAsia="" w:cs="" w:ascii="Times New Roman" w:hAnsi="Times New Roman" w:eastAsiaTheme="majorEastAsia"/>
                <w:b/>
                <w:bCs/>
                <w:color w:val="000000"/>
                <w:sz w:val="24"/>
              </w:rPr>
              <w:t>Projeto de Reabilitação e Reeducação do Homem Agressor – Paz na Família: Homem de verdade não bate.</w:t>
            </w:r>
            <w:r/>
          </w:p>
        </w:tc>
        <w:tc>
          <w:tcPr>
            <w:tcW w:w="1469" w:type="dxa"/>
            <w:tcBorders/>
            <w:shd w:color="auto" w:fill="CCCCCC" w:val="clear"/>
            <w:tcMar>
              <w:left w:w="-10" w:type="dxa"/>
            </w:tcMar>
          </w:tcPr>
          <w:p>
            <w:pPr>
              <w:pStyle w:val="Normal"/>
              <w:spacing w:lineRule="auto" w:line="240" w:before="0" w:after="0"/>
              <w:jc w:val="both"/>
            </w:pPr>
            <w:r>
              <w:rPr>
                <w:rFonts w:ascii="Times New Roman" w:hAnsi="Times New Roman"/>
                <w:color w:val="000000"/>
                <w:sz w:val="24"/>
              </w:rPr>
              <w:t>Palotina – 1ª e 2ª Promotorias</w:t>
            </w:r>
            <w:r/>
          </w:p>
        </w:tc>
        <w:tc>
          <w:tcPr>
            <w:tcW w:w="1919" w:type="dxa"/>
            <w:tcBorders/>
            <w:shd w:color="auto" w:fill="CCCCCC" w:val="clear"/>
            <w:tcMar>
              <w:left w:w="-10" w:type="dxa"/>
            </w:tcMar>
          </w:tcPr>
          <w:p>
            <w:pPr>
              <w:pStyle w:val="Normal"/>
              <w:spacing w:lineRule="auto" w:line="240" w:before="0" w:after="0"/>
              <w:jc w:val="both"/>
            </w:pPr>
            <w:r>
              <w:rPr>
                <w:rFonts w:ascii="Times New Roman" w:hAnsi="Times New Roman"/>
                <w:color w:val="000000"/>
                <w:sz w:val="24"/>
                <w:szCs w:val="20"/>
              </w:rPr>
              <w:t>Não há registro dos dados de reincidência.</w:t>
            </w:r>
            <w:r/>
          </w:p>
        </w:tc>
        <w:tc>
          <w:tcPr>
            <w:tcW w:w="3554" w:type="dxa"/>
            <w:tcBorders/>
            <w:shd w:color="auto" w:fill="CCCCCC" w:val="clear"/>
            <w:tcMar>
              <w:left w:w="-10" w:type="dxa"/>
            </w:tcMar>
          </w:tcPr>
          <w:p>
            <w:pPr>
              <w:pStyle w:val="Normal"/>
              <w:spacing w:lineRule="auto" w:line="240" w:before="0" w:after="0"/>
              <w:jc w:val="both"/>
            </w:pPr>
            <w:r>
              <w:rPr>
                <w:rFonts w:ascii="Times New Roman" w:hAnsi="Times New Roman"/>
                <w:color w:val="000000"/>
                <w:sz w:val="24"/>
              </w:rPr>
              <w:t>Ministério Público, Poder Judiciário e Prefeitura Municipal</w:t>
            </w:r>
            <w:r/>
          </w:p>
        </w:tc>
        <w:tc>
          <w:tcPr>
            <w:tcW w:w="6138" w:type="dxa"/>
            <w:tcBorders/>
            <w:shd w:color="auto" w:fill="CCCCCC" w:val="clear"/>
            <w:tcMar>
              <w:left w:w="-10" w:type="dxa"/>
            </w:tcMar>
          </w:tcPr>
          <w:p>
            <w:pPr>
              <w:pStyle w:val="Normal"/>
              <w:spacing w:lineRule="auto" w:line="240" w:before="0" w:after="0"/>
              <w:jc w:val="both"/>
            </w:pPr>
            <w:r>
              <w:rPr>
                <w:rFonts w:ascii="Times New Roman" w:hAnsi="Times New Roman"/>
                <w:color w:val="000000"/>
                <w:sz w:val="24"/>
              </w:rPr>
              <w:t>Os encontros realizados a cada 15 dias, nas quartas-feiras, em um espaço do CREAS, com grupos fechados de até 15 pessoas onde serão realizadas diversas atividades de conscientização e ressocialização. Tem como objetivo a reabilitação e reeducação de homens agressores, em relação a violência doméstica.</w:t>
            </w:r>
            <w:r/>
          </w:p>
        </w:tc>
      </w:tr>
      <w:tr>
        <w:trPr>
          <w:trHeight w:val="693" w:hRule="atLeast"/>
        </w:trPr>
        <w:tc>
          <w:tcPr>
            <w:tcW w:w="2115" w:type="dxa"/>
            <w:tcBorders>
              <w:top w:val="single" w:sz="18" w:space="0" w:color="000001"/>
            </w:tcBorders>
            <w:shd w:color="auto" w:fill="FFFFFF" w:val="clear"/>
            <w:tcMar>
              <w:left w:w="-10" w:type="dxa"/>
            </w:tcMar>
          </w:tcPr>
          <w:p>
            <w:pPr>
              <w:pStyle w:val="Normal"/>
              <w:spacing w:lineRule="auto" w:line="240" w:before="0" w:after="0"/>
              <w:rPr>
                <w:b/>
                <w:b/>
                <w:bCs/>
              </w:rPr>
            </w:pPr>
            <w:r>
              <w:rPr>
                <w:rFonts w:eastAsia="" w:cs="Times New Roman" w:ascii="Times New Roman" w:hAnsi="Times New Roman" w:eastAsiaTheme="majorEastAsia"/>
                <w:b/>
                <w:bCs/>
                <w:sz w:val="24"/>
                <w:szCs w:val="20"/>
              </w:rPr>
              <w:t>Serviço de Educação e Responsabilização de Homens autores de Violência Doméstica contra Mulher (SerH)</w:t>
            </w:r>
            <w:r/>
          </w:p>
        </w:tc>
        <w:tc>
          <w:tcPr>
            <w:tcW w:w="1469" w:type="dxa"/>
            <w:tcBorders>
              <w:top w:val="single" w:sz="18" w:space="0" w:color="000001"/>
            </w:tcBorders>
            <w:shd w:color="auto" w:fill="FFFFFF" w:val="clear"/>
            <w:tcMar>
              <w:left w:w="-10" w:type="dxa"/>
            </w:tcMar>
          </w:tcPr>
          <w:p>
            <w:pPr>
              <w:pStyle w:val="Normal"/>
              <w:spacing w:lineRule="auto" w:line="240" w:before="0" w:after="0"/>
              <w:jc w:val="both"/>
            </w:pPr>
            <w:r>
              <w:rPr>
                <w:rFonts w:eastAsia="Times New Roman" w:cs="Times New Roman" w:ascii="Times New Roman" w:hAnsi="Times New Roman"/>
                <w:sz w:val="24"/>
                <w:szCs w:val="20"/>
                <w:lang w:eastAsia="pt-BR"/>
              </w:rPr>
              <w:t>Palmas</w:t>
            </w:r>
            <w:r/>
          </w:p>
        </w:tc>
        <w:tc>
          <w:tcPr>
            <w:tcW w:w="1919" w:type="dxa"/>
            <w:tcBorders>
              <w:top w:val="single" w:sz="18" w:space="0" w:color="000001"/>
            </w:tcBorders>
            <w:shd w:color="auto" w:fill="FFFFFF" w:val="clear"/>
            <w:tcMar>
              <w:left w:w="-10" w:type="dxa"/>
            </w:tcMar>
          </w:tcPr>
          <w:p>
            <w:pPr>
              <w:pStyle w:val="Normal"/>
              <w:spacing w:lineRule="auto" w:line="240" w:before="0" w:after="0"/>
              <w:jc w:val="both"/>
            </w:pPr>
            <w:r>
              <w:rPr>
                <w:rFonts w:ascii="Times New Roman" w:hAnsi="Times New Roman"/>
                <w:sz w:val="24"/>
                <w:szCs w:val="20"/>
              </w:rPr>
              <w:t>Não há registro dos dados de reincidência.</w:t>
            </w:r>
            <w:r/>
          </w:p>
          <w:p>
            <w:pPr>
              <w:pStyle w:val="Normal"/>
              <w:spacing w:lineRule="auto" w:line="240" w:before="0" w:after="0"/>
              <w:jc w:val="both"/>
              <w:rPr>
                <w:sz w:val="20"/>
                <w:sz w:val="20"/>
                <w:szCs w:val="20"/>
                <w:rFonts w:ascii="Times New Roman" w:hAnsi="Times New Roman" w:eastAsia="Calibri" w:cs=""/>
                <w:color w:val="00000A"/>
                <w:lang w:val="pt-BR" w:eastAsia="en-US" w:bidi="ar-SA"/>
              </w:rPr>
            </w:pPr>
            <w:r>
              <w:rPr>
                <w:rFonts w:ascii="Times New Roman" w:hAnsi="Times New Roman"/>
                <w:sz w:val="20"/>
                <w:szCs w:val="20"/>
              </w:rPr>
            </w:r>
            <w:r/>
          </w:p>
        </w:tc>
        <w:tc>
          <w:tcPr>
            <w:tcW w:w="3554" w:type="dxa"/>
            <w:tcBorders>
              <w:top w:val="single" w:sz="18" w:space="0" w:color="000001"/>
            </w:tcBorders>
            <w:shd w:color="auto" w:fill="FFFFFF" w:val="clear"/>
            <w:tcMar>
              <w:left w:w="-10" w:type="dxa"/>
            </w:tcMar>
          </w:tcPr>
          <w:p>
            <w:pPr>
              <w:pStyle w:val="Normal"/>
              <w:spacing w:lineRule="auto" w:line="240" w:before="0" w:after="0"/>
              <w:jc w:val="both"/>
            </w:pPr>
            <w:r>
              <w:rPr>
                <w:rFonts w:cs="Times New Roman" w:ascii="Times New Roman" w:hAnsi="Times New Roman"/>
                <w:color w:val="000000"/>
                <w:sz w:val="24"/>
                <w:szCs w:val="20"/>
              </w:rPr>
              <w:t>Poder Judiciário, Ministério Público, IFPR, Prefeitura Municipal, Exército e várias entidades particulares.</w:t>
            </w:r>
            <w:r/>
          </w:p>
        </w:tc>
        <w:tc>
          <w:tcPr>
            <w:tcW w:w="6138" w:type="dxa"/>
            <w:tcBorders>
              <w:top w:val="single" w:sz="18" w:space="0" w:color="000001"/>
            </w:tcBorders>
            <w:shd w:color="auto" w:fill="FFFFFF" w:val="clear"/>
            <w:tcMar>
              <w:left w:w="-10" w:type="dxa"/>
            </w:tcMar>
          </w:tcPr>
          <w:p>
            <w:pPr>
              <w:pStyle w:val="Normal"/>
              <w:spacing w:lineRule="auto" w:line="240" w:before="0" w:after="0"/>
              <w:jc w:val="both"/>
            </w:pPr>
            <w:r>
              <w:rPr>
                <w:rFonts w:cs="Times New Roman" w:ascii="Times New Roman" w:hAnsi="Times New Roman"/>
                <w:sz w:val="24"/>
                <w:szCs w:val="20"/>
              </w:rPr>
              <w:t>Grupos de reflexão com reuniões quinzenais no período da noite com duração de 7/8 meses, podendo ser voluntário ou condicionado. A partir de temas como violência doméstica, violência de gênero, drogas e álcool, masculinidade pretende-se promover uma reflexão transformadora nos participantes. A avaliação final da efetividade do projeto é complementada pelo relato da companheira e familiares.</w:t>
            </w:r>
            <w:r/>
          </w:p>
        </w:tc>
      </w:tr>
      <w:tr>
        <w:trPr>
          <w:trHeight w:val="693" w:hRule="atLeast"/>
        </w:trPr>
        <w:tc>
          <w:tcPr>
            <w:tcW w:w="2115" w:type="dxa"/>
            <w:tcBorders>
              <w:top w:val="single" w:sz="18" w:space="0" w:color="000001"/>
            </w:tcBorders>
            <w:shd w:color="auto" w:fill="CCCCCC" w:val="clear"/>
            <w:tcMar>
              <w:left w:w="-10" w:type="dxa"/>
            </w:tcMar>
          </w:tcPr>
          <w:p>
            <w:pPr>
              <w:pStyle w:val="Normal"/>
              <w:spacing w:lineRule="auto" w:line="240" w:before="0" w:after="0"/>
              <w:rPr>
                <w:b/>
                <w:b/>
                <w:bCs/>
                <w:rFonts w:cs=""/>
              </w:rPr>
            </w:pPr>
            <w:r>
              <w:rPr>
                <w:rFonts w:eastAsia="" w:cs="" w:ascii="Times New Roman" w:hAnsi="Times New Roman" w:eastAsiaTheme="majorEastAsia"/>
                <w:b/>
                <w:bCs/>
                <w:color w:val="000000"/>
                <w:sz w:val="24"/>
              </w:rPr>
              <w:t xml:space="preserve">Curso de Reabilitação e Reeducação do Homem Agressor </w:t>
            </w:r>
            <w:r/>
          </w:p>
        </w:tc>
        <w:tc>
          <w:tcPr>
            <w:tcW w:w="1469" w:type="dxa"/>
            <w:tcBorders>
              <w:top w:val="single" w:sz="18" w:space="0" w:color="000001"/>
            </w:tcBorders>
            <w:shd w:color="auto" w:fill="CCCCCC" w:val="clear"/>
            <w:tcMar>
              <w:left w:w="-10" w:type="dxa"/>
            </w:tcMar>
          </w:tcPr>
          <w:p>
            <w:pPr>
              <w:pStyle w:val="Normal"/>
              <w:spacing w:lineRule="auto" w:line="240" w:before="0" w:after="0"/>
              <w:jc w:val="both"/>
            </w:pPr>
            <w:r>
              <w:rPr>
                <w:rFonts w:ascii="Times New Roman" w:hAnsi="Times New Roman"/>
                <w:color w:val="000000"/>
                <w:sz w:val="24"/>
              </w:rPr>
              <w:t xml:space="preserve">Rio Negro </w:t>
            </w:r>
            <w:r/>
          </w:p>
        </w:tc>
        <w:tc>
          <w:tcPr>
            <w:tcW w:w="1919" w:type="dxa"/>
            <w:tcBorders>
              <w:top w:val="single" w:sz="18" w:space="0" w:color="000001"/>
            </w:tcBorders>
            <w:shd w:color="auto" w:fill="CCCCCC" w:val="clear"/>
            <w:tcMar>
              <w:left w:w="-10" w:type="dxa"/>
            </w:tcMar>
          </w:tcPr>
          <w:p>
            <w:pPr>
              <w:pStyle w:val="Normal"/>
              <w:spacing w:lineRule="auto" w:line="240" w:before="0" w:after="0"/>
              <w:jc w:val="both"/>
            </w:pPr>
            <w:r>
              <w:rPr>
                <w:rFonts w:ascii="Times New Roman" w:hAnsi="Times New Roman"/>
                <w:color w:val="000000"/>
                <w:sz w:val="24"/>
                <w:szCs w:val="20"/>
              </w:rPr>
              <w:t>Não há registro dos dados de reincidência.</w:t>
            </w:r>
            <w:r/>
          </w:p>
        </w:tc>
        <w:tc>
          <w:tcPr>
            <w:tcW w:w="3554" w:type="dxa"/>
            <w:tcBorders>
              <w:top w:val="single" w:sz="18" w:space="0" w:color="000001"/>
            </w:tcBorders>
            <w:shd w:color="auto" w:fill="CCCCCC" w:val="clear"/>
            <w:tcMar>
              <w:left w:w="-10" w:type="dxa"/>
            </w:tcMar>
          </w:tcPr>
          <w:p>
            <w:pPr>
              <w:pStyle w:val="Normal"/>
              <w:spacing w:lineRule="auto" w:line="240" w:before="0" w:after="0"/>
              <w:jc w:val="both"/>
            </w:pPr>
            <w:r>
              <w:rPr>
                <w:rFonts w:ascii="Times New Roman" w:hAnsi="Times New Roman"/>
                <w:color w:val="000000"/>
                <w:sz w:val="24"/>
              </w:rPr>
              <w:t>Ministério Público</w:t>
            </w:r>
            <w:r/>
          </w:p>
        </w:tc>
        <w:tc>
          <w:tcPr>
            <w:tcW w:w="6138" w:type="dxa"/>
            <w:tcBorders>
              <w:top w:val="single" w:sz="18" w:space="0" w:color="000001"/>
            </w:tcBorders>
            <w:shd w:color="auto" w:fill="CCCCCC" w:val="clear"/>
            <w:tcMar>
              <w:left w:w="-10" w:type="dxa"/>
            </w:tcMar>
          </w:tcPr>
          <w:p>
            <w:pPr>
              <w:pStyle w:val="Normal"/>
              <w:spacing w:lineRule="auto" w:line="240" w:before="0" w:after="0"/>
              <w:jc w:val="both"/>
            </w:pPr>
            <w:r>
              <w:rPr>
                <w:rFonts w:ascii="Times New Roman" w:hAnsi="Times New Roman"/>
                <w:color w:val="000000"/>
                <w:sz w:val="24"/>
              </w:rPr>
              <w:t xml:space="preserve">É realizado um encontro, semestralmente, com uma palestra com a equipe técnica do Juizado, com explicações por parte de cada um dos atores do sistema de justiça sobre o tema da violência de gênero. A iniciativa funciona como medida para a manutenção da suspensão condicional do processo de cada um dos autores de violência participantes do curso, </w:t>
            </w:r>
            <w:r>
              <w:rPr>
                <w:rFonts w:ascii="Times New Roman" w:hAnsi="Times New Roman"/>
                <w:color w:val="222222"/>
                <w:sz w:val="24"/>
              </w:rPr>
              <w:t>que precisam comprovar seu comparecimento.</w:t>
            </w:r>
            <w:r/>
          </w:p>
        </w:tc>
      </w:tr>
      <w:tr>
        <w:trPr>
          <w:trHeight w:val="693" w:hRule="atLeast"/>
        </w:trPr>
        <w:tc>
          <w:tcPr>
            <w:tcW w:w="2115" w:type="dxa"/>
            <w:tcBorders>
              <w:top w:val="single" w:sz="18" w:space="0" w:color="000001"/>
            </w:tcBorders>
            <w:shd w:color="auto" w:fill="FFFFFF" w:val="clear"/>
            <w:tcMar>
              <w:left w:w="-10" w:type="dxa"/>
            </w:tcMar>
          </w:tcPr>
          <w:p>
            <w:pPr>
              <w:pStyle w:val="Normal"/>
              <w:spacing w:lineRule="auto" w:line="240" w:before="0" w:after="0"/>
              <w:jc w:val="both"/>
              <w:rPr>
                <w:b/>
                <w:b/>
                <w:bCs/>
                <w:rFonts w:cs=""/>
              </w:rPr>
            </w:pPr>
            <w:r>
              <w:rPr>
                <w:rFonts w:eastAsia="" w:cs="" w:ascii="Times New Roman" w:hAnsi="Times New Roman" w:eastAsiaTheme="majorEastAsia"/>
                <w:b/>
                <w:bCs/>
                <w:sz w:val="24"/>
                <w:szCs w:val="20"/>
              </w:rPr>
              <w:t>BASTA</w:t>
            </w:r>
            <w:r/>
          </w:p>
        </w:tc>
        <w:tc>
          <w:tcPr>
            <w:tcW w:w="1469" w:type="dxa"/>
            <w:tcBorders>
              <w:top w:val="single" w:sz="18" w:space="0" w:color="000001"/>
            </w:tcBorders>
            <w:shd w:color="auto" w:fill="FFFFFF" w:val="clear"/>
            <w:tcMar>
              <w:left w:w="-10" w:type="dxa"/>
            </w:tcMar>
          </w:tcPr>
          <w:p>
            <w:pPr>
              <w:pStyle w:val="Normal"/>
              <w:spacing w:lineRule="auto" w:line="240" w:before="0" w:after="0"/>
              <w:jc w:val="both"/>
            </w:pPr>
            <w:r>
              <w:rPr>
                <w:rFonts w:ascii="Times New Roman" w:hAnsi="Times New Roman"/>
                <w:sz w:val="24"/>
                <w:szCs w:val="20"/>
              </w:rPr>
              <w:t>Pitanga</w:t>
            </w:r>
            <w:r/>
          </w:p>
        </w:tc>
        <w:tc>
          <w:tcPr>
            <w:tcW w:w="1919" w:type="dxa"/>
            <w:tcBorders>
              <w:top w:val="single" w:sz="18" w:space="0" w:color="000001"/>
            </w:tcBorders>
            <w:shd w:color="auto" w:fill="FFFFFF" w:val="clear"/>
            <w:tcMar>
              <w:left w:w="-10" w:type="dxa"/>
            </w:tcMar>
          </w:tcPr>
          <w:p>
            <w:pPr>
              <w:pStyle w:val="Normal"/>
              <w:spacing w:lineRule="auto" w:line="240" w:before="0" w:after="0"/>
              <w:jc w:val="both"/>
            </w:pPr>
            <w:r>
              <w:rPr>
                <w:rFonts w:ascii="Times New Roman" w:hAnsi="Times New Roman"/>
                <w:sz w:val="24"/>
                <w:szCs w:val="20"/>
              </w:rPr>
              <w:t>Não há registro dos dados de reincidência.</w:t>
            </w:r>
            <w:r/>
          </w:p>
        </w:tc>
        <w:tc>
          <w:tcPr>
            <w:tcW w:w="3554" w:type="dxa"/>
            <w:tcBorders>
              <w:top w:val="single" w:sz="18" w:space="0" w:color="000001"/>
            </w:tcBorders>
            <w:shd w:color="auto" w:fill="FFFFFF" w:val="clear"/>
            <w:tcMar>
              <w:left w:w="-10" w:type="dxa"/>
            </w:tcMar>
          </w:tcPr>
          <w:p>
            <w:pPr>
              <w:pStyle w:val="Normal"/>
              <w:spacing w:lineRule="auto" w:line="240" w:before="0" w:after="0"/>
              <w:jc w:val="both"/>
            </w:pPr>
            <w:r>
              <w:rPr>
                <w:rFonts w:ascii="Times New Roman" w:hAnsi="Times New Roman"/>
                <w:sz w:val="24"/>
                <w:szCs w:val="20"/>
              </w:rPr>
              <w:t>Patronato Municipal vinculado a Vara Criminal e ao Juizado Especial Criminal, tendo a faculdade local como parceira.</w:t>
            </w:r>
            <w:r/>
          </w:p>
        </w:tc>
        <w:tc>
          <w:tcPr>
            <w:tcW w:w="6138" w:type="dxa"/>
            <w:tcBorders>
              <w:top w:val="single" w:sz="18" w:space="0" w:color="000001"/>
            </w:tcBorders>
            <w:shd w:color="auto" w:fill="FFFFFF" w:val="clear"/>
            <w:tcMar>
              <w:left w:w="-10" w:type="dxa"/>
            </w:tcMar>
          </w:tcPr>
          <w:p>
            <w:pPr>
              <w:pStyle w:val="Normal"/>
              <w:spacing w:lineRule="auto" w:line="240" w:before="0" w:after="0"/>
              <w:jc w:val="both"/>
            </w:pPr>
            <w:r>
              <w:rPr>
                <w:rFonts w:ascii="Times New Roman" w:hAnsi="Times New Roman"/>
                <w:sz w:val="24"/>
                <w:szCs w:val="20"/>
              </w:rPr>
              <w:t>Programa destinado aos condenados a penas privativas de liberdade em regime aberto ou sob livramento condicional, penas privativas de liberdade sob sursis, penas restritivas de direito, transações penais e suspensão condicional do processo. O programa é realizado pelo Patronato Municipal por profissionais de assistência Social, Psicologia e Direito, além dos setores administrativos. Entretanto, no ano de 2016, toda a equipe de Serviço Social foi alterada, por isso os profissionais e estagiários estão com dificuldades em montar o Projeto BASTA, sendo que desde de janeiro, foi encaminhado ao programa apenas um homem agressor, cuja sentença não determinava a participação obrigatória do grupo.</w:t>
            </w:r>
            <w:r/>
          </w:p>
        </w:tc>
      </w:tr>
      <w:tr>
        <w:trPr>
          <w:trHeight w:val="693" w:hRule="atLeast"/>
        </w:trPr>
        <w:tc>
          <w:tcPr>
            <w:tcW w:w="2115" w:type="dxa"/>
            <w:tcBorders>
              <w:top w:val="single" w:sz="18" w:space="0" w:color="000001"/>
            </w:tcBorders>
            <w:shd w:color="auto" w:fill="CCCCCC" w:val="clear"/>
            <w:tcMar>
              <w:left w:w="-10" w:type="dxa"/>
            </w:tcMar>
          </w:tcPr>
          <w:p>
            <w:pPr>
              <w:pStyle w:val="Normal"/>
              <w:spacing w:lineRule="auto" w:line="240" w:before="0" w:after="0"/>
              <w:rPr>
                <w:sz w:val="20"/>
                <w:sz w:val="20"/>
                <w:szCs w:val="20"/>
                <w:rFonts w:cs="Times New Roman"/>
              </w:rPr>
            </w:pPr>
            <w:r>
              <w:rPr>
                <w:rFonts w:eastAsia="" w:cs="Times New Roman" w:ascii="Times New Roman" w:hAnsi="Times New Roman" w:eastAsiaTheme="majorEastAsia"/>
                <w:b/>
                <w:bCs/>
                <w:sz w:val="24"/>
                <w:szCs w:val="20"/>
              </w:rPr>
              <w:t>BASTA</w:t>
            </w:r>
            <w:r/>
          </w:p>
        </w:tc>
        <w:tc>
          <w:tcPr>
            <w:tcW w:w="1469" w:type="dxa"/>
            <w:tcBorders>
              <w:top w:val="single" w:sz="18" w:space="0" w:color="000001"/>
            </w:tcBorders>
            <w:shd w:color="auto" w:fill="CCCCCC" w:val="clear"/>
            <w:tcMar>
              <w:left w:w="-10" w:type="dxa"/>
            </w:tcMar>
          </w:tcPr>
          <w:p>
            <w:pPr>
              <w:pStyle w:val="Normal"/>
              <w:spacing w:lineRule="auto" w:line="240" w:before="0" w:after="0"/>
              <w:jc w:val="both"/>
              <w:rPr>
                <w:sz w:val="20"/>
                <w:sz w:val="20"/>
                <w:szCs w:val="20"/>
                <w:rFonts w:eastAsia="Times New Roman" w:cs="Times New Roman"/>
                <w:lang w:eastAsia="pt-BR"/>
              </w:rPr>
            </w:pPr>
            <w:r>
              <w:rPr>
                <w:rFonts w:eastAsia="Times New Roman" w:cs="Times New Roman" w:ascii="Times New Roman" w:hAnsi="Times New Roman"/>
                <w:sz w:val="24"/>
                <w:szCs w:val="20"/>
                <w:lang w:eastAsia="pt-BR"/>
              </w:rPr>
              <w:t>Apucarana</w:t>
            </w:r>
            <w:r/>
          </w:p>
        </w:tc>
        <w:tc>
          <w:tcPr>
            <w:tcW w:w="1919" w:type="dxa"/>
            <w:tcBorders>
              <w:top w:val="single" w:sz="18" w:space="0" w:color="000001"/>
            </w:tcBorders>
            <w:shd w:color="auto" w:fill="CCCCCC" w:val="clear"/>
            <w:tcMar>
              <w:left w:w="-10" w:type="dxa"/>
            </w:tcMar>
          </w:tcPr>
          <w:p>
            <w:pPr>
              <w:pStyle w:val="Normal"/>
              <w:spacing w:lineRule="auto" w:line="240" w:before="0" w:after="0"/>
              <w:jc w:val="both"/>
              <w:rPr>
                <w:sz w:val="20"/>
                <w:sz w:val="20"/>
                <w:szCs w:val="20"/>
              </w:rPr>
            </w:pPr>
            <w:r>
              <w:rPr>
                <w:rFonts w:ascii="Times New Roman" w:hAnsi="Times New Roman"/>
                <w:sz w:val="24"/>
                <w:szCs w:val="20"/>
              </w:rPr>
              <w:t>Não há registro dos dados de reincidência.</w:t>
            </w:r>
            <w:r/>
          </w:p>
        </w:tc>
        <w:tc>
          <w:tcPr>
            <w:tcW w:w="3554" w:type="dxa"/>
            <w:tcBorders>
              <w:top w:val="single" w:sz="18" w:space="0" w:color="000001"/>
            </w:tcBorders>
            <w:shd w:color="auto" w:fill="CCCCCC" w:val="clear"/>
            <w:tcMar>
              <w:left w:w="-10" w:type="dxa"/>
            </w:tcMar>
          </w:tcPr>
          <w:p>
            <w:pPr>
              <w:pStyle w:val="Normal"/>
              <w:spacing w:lineRule="auto" w:line="240" w:before="0" w:after="0"/>
              <w:jc w:val="both"/>
              <w:rPr>
                <w:sz w:val="20"/>
                <w:sz w:val="20"/>
                <w:szCs w:val="20"/>
                <w:rFonts w:cs="Times New Roman"/>
              </w:rPr>
            </w:pPr>
            <w:r>
              <w:rPr>
                <w:rFonts w:cs="Times New Roman" w:ascii="Times New Roman" w:hAnsi="Times New Roman"/>
                <w:sz w:val="24"/>
                <w:szCs w:val="20"/>
              </w:rPr>
              <w:t>Patronato Municipal</w:t>
            </w:r>
            <w:r/>
          </w:p>
        </w:tc>
        <w:tc>
          <w:tcPr>
            <w:tcW w:w="6138" w:type="dxa"/>
            <w:tcBorders>
              <w:top w:val="single" w:sz="18" w:space="0" w:color="000001"/>
            </w:tcBorders>
            <w:shd w:color="auto" w:fill="CCCCCC" w:val="clear"/>
            <w:tcMar>
              <w:left w:w="-10" w:type="dxa"/>
            </w:tcMar>
          </w:tcPr>
          <w:p>
            <w:pPr>
              <w:pStyle w:val="Normal"/>
              <w:spacing w:lineRule="auto" w:line="240" w:before="0" w:after="0"/>
              <w:jc w:val="both"/>
            </w:pPr>
            <w:r>
              <w:rPr>
                <w:rFonts w:cs="Times New Roman" w:ascii="Times New Roman" w:hAnsi="Times New Roman"/>
                <w:sz w:val="24"/>
                <w:szCs w:val="20"/>
              </w:rPr>
              <w:t>Grupos de reflexão que visam acolher o assistido, trabalhar conceitos como gênero, violência doméstica, o delito em si, a fim de internalizar uma nova conduta. Grupos semanais com no máximo 15 pessoas e com duração de 3 meses.</w:t>
            </w:r>
            <w:r/>
          </w:p>
          <w:p>
            <w:pPr>
              <w:pStyle w:val="Normal"/>
              <w:spacing w:lineRule="auto" w:line="240" w:before="0" w:after="0"/>
              <w:jc w:val="both"/>
            </w:pPr>
            <w:r>
              <w:rPr>
                <w:rFonts w:cs="Times New Roman" w:ascii="Times New Roman" w:hAnsi="Times New Roman"/>
                <w:sz w:val="24"/>
                <w:szCs w:val="20"/>
              </w:rPr>
              <w:t>O Projeto Novos Horizontes está inserido no Programa Basta e consiste na realização de grupo reflexivo para homens autores de violência doméstica, encaminhados pelo Poder Judiciário ao Patronato, já na audiência preliminar, na qual são deferidas as medidas protetivas previstas na Lei Maria da Penha. O projeto tem duração de 3 (três) meses, com frequência semanal, totalizando 12 (doze) encontros. Cada encontro tem a duração de 2 (duas) horas. Ressalta-se que o encaminhamento não consiste em medida protetiva e, sendo assim, a frequência não é obrigatória. Todavia, até o momento o Patronato encontra-se na décima edição do Projeto. Foram realizados 70 (setenta) atendimentos iniciais e, destes, 44 (quarenta e quatro) assistidos efetivamente concluíram o grupo, com uma média de 5 participantes concluintes por edição. O décimo grupo, que se iniciou no mês de março de 2016, está sendo realizado às segundas-feiras, no período noturno, pela equipe de Psicologia e conta com 7 (sete) participantes.</w:t>
            </w:r>
            <w:r/>
          </w:p>
        </w:tc>
      </w:tr>
      <w:tr>
        <w:trPr>
          <w:trHeight w:val="693" w:hRule="atLeast"/>
        </w:trPr>
        <w:tc>
          <w:tcPr>
            <w:tcW w:w="2115" w:type="dxa"/>
            <w:tcBorders/>
            <w:shd w:color="auto" w:fill="FFFFFF" w:val="clear"/>
            <w:tcMar>
              <w:left w:w="-10" w:type="dxa"/>
            </w:tcMar>
          </w:tcPr>
          <w:p>
            <w:pPr>
              <w:pStyle w:val="Normal"/>
              <w:spacing w:lineRule="auto" w:line="240" w:before="0" w:after="0"/>
              <w:rPr>
                <w:sz w:val="20"/>
                <w:sz w:val="20"/>
                <w:szCs w:val="20"/>
                <w:rFonts w:cs="Times New Roman"/>
              </w:rPr>
            </w:pPr>
            <w:r>
              <w:rPr>
                <w:rFonts w:eastAsia="" w:cs="Times New Roman" w:ascii="Times New Roman" w:hAnsi="Times New Roman" w:eastAsiaTheme="majorEastAsia"/>
                <w:b/>
                <w:bCs/>
                <w:sz w:val="24"/>
                <w:szCs w:val="20"/>
              </w:rPr>
              <w:t>BASTA</w:t>
            </w:r>
            <w:r/>
          </w:p>
        </w:tc>
        <w:tc>
          <w:tcPr>
            <w:tcW w:w="1469" w:type="dxa"/>
            <w:tcBorders/>
            <w:shd w:color="auto" w:fill="FFFFFF" w:val="clear"/>
            <w:tcMar>
              <w:left w:w="-10" w:type="dxa"/>
            </w:tcMar>
          </w:tcPr>
          <w:p>
            <w:pPr>
              <w:pStyle w:val="Normal"/>
              <w:spacing w:lineRule="auto" w:line="240" w:before="0" w:after="0"/>
              <w:jc w:val="both"/>
              <w:rPr>
                <w:sz w:val="20"/>
                <w:sz w:val="20"/>
                <w:szCs w:val="20"/>
                <w:rFonts w:eastAsia="Times New Roman" w:cs="Times New Roman"/>
                <w:lang w:eastAsia="pt-BR"/>
              </w:rPr>
            </w:pPr>
            <w:r>
              <w:rPr>
                <w:rFonts w:eastAsia="Times New Roman" w:cs="Times New Roman" w:ascii="Times New Roman" w:hAnsi="Times New Roman"/>
                <w:sz w:val="24"/>
                <w:szCs w:val="20"/>
                <w:lang w:eastAsia="pt-BR"/>
              </w:rPr>
              <w:t>Francisco Beltrão</w:t>
            </w:r>
            <w:r/>
          </w:p>
        </w:tc>
        <w:tc>
          <w:tcPr>
            <w:tcW w:w="1919" w:type="dxa"/>
            <w:tcBorders/>
            <w:shd w:color="auto" w:fill="FFFFFF" w:val="clear"/>
            <w:tcMar>
              <w:left w:w="-10" w:type="dxa"/>
            </w:tcMar>
          </w:tcPr>
          <w:p>
            <w:pPr>
              <w:pStyle w:val="Normal"/>
              <w:spacing w:lineRule="auto" w:line="240" w:before="0" w:after="0"/>
              <w:jc w:val="both"/>
              <w:rPr>
                <w:sz w:val="20"/>
                <w:sz w:val="20"/>
                <w:szCs w:val="20"/>
              </w:rPr>
            </w:pPr>
            <w:r>
              <w:rPr>
                <w:rFonts w:ascii="Times New Roman" w:hAnsi="Times New Roman"/>
                <w:sz w:val="24"/>
                <w:szCs w:val="20"/>
              </w:rPr>
              <w:t>Não há registro dos dados de reincidência.</w:t>
            </w:r>
            <w:r/>
          </w:p>
        </w:tc>
        <w:tc>
          <w:tcPr>
            <w:tcW w:w="3554" w:type="dxa"/>
            <w:tcBorders/>
            <w:shd w:color="auto" w:fill="FFFFFF" w:val="clear"/>
            <w:tcMar>
              <w:left w:w="-10" w:type="dxa"/>
            </w:tcMar>
          </w:tcPr>
          <w:p>
            <w:pPr>
              <w:pStyle w:val="Normal"/>
              <w:spacing w:lineRule="auto" w:line="240" w:before="0" w:after="0"/>
              <w:jc w:val="both"/>
              <w:rPr>
                <w:sz w:val="20"/>
                <w:sz w:val="20"/>
                <w:szCs w:val="20"/>
                <w:rFonts w:cs="Times New Roman"/>
              </w:rPr>
            </w:pPr>
            <w:r>
              <w:rPr>
                <w:rFonts w:cs="Times New Roman" w:ascii="Times New Roman" w:hAnsi="Times New Roman"/>
                <w:sz w:val="24"/>
                <w:szCs w:val="20"/>
              </w:rPr>
              <w:t>Patronato Municipal</w:t>
            </w:r>
            <w:r/>
          </w:p>
        </w:tc>
        <w:tc>
          <w:tcPr>
            <w:tcW w:w="6138" w:type="dxa"/>
            <w:tcBorders/>
            <w:shd w:color="auto" w:fill="FFFFFF" w:val="clear"/>
            <w:tcMar>
              <w:left w:w="-10" w:type="dxa"/>
            </w:tcMar>
          </w:tcPr>
          <w:p>
            <w:pPr>
              <w:pStyle w:val="Normal"/>
              <w:spacing w:lineRule="auto" w:line="240" w:before="0" w:after="0"/>
              <w:jc w:val="both"/>
            </w:pPr>
            <w:r>
              <w:rPr>
                <w:rFonts w:cs="Times New Roman" w:ascii="Times New Roman" w:hAnsi="Times New Roman"/>
                <w:sz w:val="24"/>
                <w:szCs w:val="20"/>
              </w:rPr>
              <w:t>O Programa é realizado por profissionais da área de serviço social, trabalha temas como a “Lei Maria da Penha” e seus desdobramentos, relacionando os fatores históricos da violência contra mulher. Através de palestras e dinâmicas de grupos reflexivos, demonstrando que o respeito é um conceito entendido além da integridade física, como também envolve integridade psicológica, moral e comportamental em uma sociedade com características patriarcais. Os programas são desenvolvidos sobre a forma de reuniões, palestras, mini-aulas e oficinas, utilizando dinâmicas e atividades de grupo. A definição pela participação em cada programa é determinada pelo Juiz, e a participação é obrigatória. O programa é trimestral, as reuniões ocorrem no período noturno no Campus da Unioeste e o número de assistidos tende a variar a cada mês, atendendo-se em média 15 homens.</w:t>
            </w:r>
            <w:r/>
          </w:p>
        </w:tc>
      </w:tr>
      <w:tr>
        <w:trPr>
          <w:trHeight w:val="693" w:hRule="atLeast"/>
        </w:trPr>
        <w:tc>
          <w:tcPr>
            <w:tcW w:w="2115" w:type="dxa"/>
            <w:tcBorders/>
            <w:shd w:color="auto" w:fill="CCCCCC" w:val="clear"/>
            <w:tcMar>
              <w:left w:w="-10" w:type="dxa"/>
            </w:tcMar>
          </w:tcPr>
          <w:p>
            <w:pPr>
              <w:pStyle w:val="Normal"/>
              <w:spacing w:lineRule="auto" w:line="240" w:before="0" w:after="0"/>
              <w:rPr>
                <w:sz w:val="20"/>
                <w:sz w:val="20"/>
                <w:szCs w:val="20"/>
                <w:rFonts w:cs="Times New Roman"/>
              </w:rPr>
            </w:pPr>
            <w:r>
              <w:rPr>
                <w:rFonts w:eastAsia="" w:cs="Times New Roman" w:ascii="Times New Roman" w:hAnsi="Times New Roman" w:eastAsiaTheme="majorEastAsia"/>
                <w:b/>
                <w:bCs/>
                <w:sz w:val="24"/>
                <w:szCs w:val="20"/>
              </w:rPr>
              <w:t>BASTA</w:t>
            </w:r>
            <w:r/>
          </w:p>
        </w:tc>
        <w:tc>
          <w:tcPr>
            <w:tcW w:w="1469" w:type="dxa"/>
            <w:tcBorders/>
            <w:shd w:color="auto" w:fill="CCCCCC" w:val="clear"/>
            <w:tcMar>
              <w:left w:w="-10" w:type="dxa"/>
            </w:tcMar>
          </w:tcPr>
          <w:p>
            <w:pPr>
              <w:pStyle w:val="Normal"/>
              <w:spacing w:lineRule="auto" w:line="240" w:before="0" w:after="0"/>
              <w:jc w:val="both"/>
              <w:rPr>
                <w:sz w:val="20"/>
                <w:sz w:val="20"/>
                <w:szCs w:val="20"/>
                <w:rFonts w:eastAsia="Times New Roman" w:cs="Times New Roman"/>
                <w:lang w:eastAsia="pt-BR"/>
              </w:rPr>
            </w:pPr>
            <w:r>
              <w:rPr>
                <w:rFonts w:eastAsia="Times New Roman" w:cs="Times New Roman" w:ascii="Times New Roman" w:hAnsi="Times New Roman"/>
                <w:sz w:val="24"/>
                <w:szCs w:val="20"/>
                <w:lang w:eastAsia="pt-BR"/>
              </w:rPr>
              <w:t>Londrina</w:t>
            </w:r>
            <w:r/>
          </w:p>
        </w:tc>
        <w:tc>
          <w:tcPr>
            <w:tcW w:w="1919" w:type="dxa"/>
            <w:tcBorders/>
            <w:shd w:color="auto" w:fill="CCCCCC" w:val="clear"/>
            <w:tcMar>
              <w:left w:w="-10" w:type="dxa"/>
            </w:tcMar>
          </w:tcPr>
          <w:p>
            <w:pPr>
              <w:pStyle w:val="Normal"/>
              <w:spacing w:lineRule="auto" w:line="240" w:before="0" w:after="0"/>
              <w:jc w:val="both"/>
              <w:rPr>
                <w:sz w:val="20"/>
                <w:sz w:val="20"/>
                <w:szCs w:val="20"/>
              </w:rPr>
            </w:pPr>
            <w:r>
              <w:rPr>
                <w:rFonts w:ascii="Times New Roman" w:hAnsi="Times New Roman"/>
                <w:sz w:val="24"/>
                <w:szCs w:val="20"/>
              </w:rPr>
              <w:t>Não há registro dos dados de reincidência.</w:t>
            </w:r>
            <w:r/>
          </w:p>
        </w:tc>
        <w:tc>
          <w:tcPr>
            <w:tcW w:w="3554" w:type="dxa"/>
            <w:tcBorders/>
            <w:shd w:color="auto" w:fill="CCCCCC" w:val="clear"/>
            <w:tcMar>
              <w:left w:w="-10" w:type="dxa"/>
            </w:tcMar>
          </w:tcPr>
          <w:p>
            <w:pPr>
              <w:pStyle w:val="Normal"/>
              <w:spacing w:lineRule="auto" w:line="240" w:before="0" w:after="0"/>
              <w:jc w:val="both"/>
            </w:pPr>
            <w:r>
              <w:rPr>
                <w:rFonts w:cs="Times New Roman" w:ascii="Times New Roman" w:hAnsi="Times New Roman"/>
                <w:sz w:val="24"/>
                <w:szCs w:val="20"/>
              </w:rPr>
              <w:t>Patronato Municipal</w:t>
            </w:r>
            <w:r/>
          </w:p>
        </w:tc>
        <w:tc>
          <w:tcPr>
            <w:tcW w:w="6138" w:type="dxa"/>
            <w:tcBorders/>
            <w:shd w:color="auto" w:fill="CCCCCC" w:val="clear"/>
            <w:tcMar>
              <w:left w:w="-10" w:type="dxa"/>
            </w:tcMar>
          </w:tcPr>
          <w:p>
            <w:pPr>
              <w:pStyle w:val="Normal"/>
              <w:spacing w:lineRule="auto" w:line="240" w:before="0" w:after="0"/>
              <w:jc w:val="both"/>
            </w:pPr>
            <w:r>
              <w:rPr>
                <w:rFonts w:cs="Times New Roman" w:ascii="Times New Roman" w:hAnsi="Times New Roman"/>
                <w:sz w:val="24"/>
                <w:szCs w:val="20"/>
              </w:rPr>
              <w:t>Em 2015, foram implantados, divididos em quatro grupos, 48 homens no Programa Basta, dos quais 35 concluíram o cumprimento da medida. Um destes veio a óbito. Cinco foram reimplantados em grupos em andamento. Este ano temos dois grupos funcionando, atendendo 16 homens. No momento, o Programa Basta realiza a execução de medidas depois do trânsito em julgado. A programação para o mês de maio implicará na realização do grupo do reflexivo como medida cautelar. Decidiu-se por esta ampliação da ação considerando que a medida educativa tem mais probabilidade de ser efetiva se executada após a agressão. Além deste fato, constatou-se uma demanda muito grande, uma média de 30 medidas protetivas semanais. Com essa nova demanda, de início serão atendidos 40 homens autores de agressões na modalidade ameaça e perturbação, como forma de delimitar os primeiros grupos que acontecerão com a metodologia da Justiça Restaurativa. A meta é atender todos os casos de Medida Protetiva.</w:t>
            </w:r>
            <w:r/>
          </w:p>
          <w:p>
            <w:pPr>
              <w:pStyle w:val="Normal"/>
              <w:spacing w:lineRule="auto" w:line="240" w:before="0" w:after="0"/>
              <w:jc w:val="both"/>
            </w:pPr>
            <w:r>
              <w:rPr>
                <w:rFonts w:cs="Times New Roman" w:ascii="Times New Roman" w:hAnsi="Times New Roman"/>
                <w:sz w:val="24"/>
                <w:szCs w:val="20"/>
              </w:rPr>
              <w:t>Os Grupos de reflexão visam acolher o assistido, trabalhar conceitos como gênero, violência doméstica, o delito em si, a fim de internalizar uma nova conduta. Ocorrem reuniões mensais com duas horas de duração com no máximo 12 pessoas.</w:t>
            </w:r>
            <w:r/>
          </w:p>
        </w:tc>
      </w:tr>
      <w:tr>
        <w:trPr>
          <w:trHeight w:val="693" w:hRule="atLeast"/>
        </w:trPr>
        <w:tc>
          <w:tcPr>
            <w:tcW w:w="2115" w:type="dxa"/>
            <w:tcBorders/>
            <w:shd w:color="auto" w:fill="FFFFFF" w:val="clear"/>
            <w:tcMar>
              <w:left w:w="-10" w:type="dxa"/>
            </w:tcMar>
          </w:tcPr>
          <w:p>
            <w:pPr>
              <w:pStyle w:val="Normal"/>
              <w:spacing w:lineRule="auto" w:line="240" w:before="0" w:after="0"/>
              <w:rPr>
                <w:sz w:val="20"/>
                <w:sz w:val="20"/>
                <w:szCs w:val="20"/>
                <w:rFonts w:cs="Times New Roman"/>
              </w:rPr>
            </w:pPr>
            <w:r>
              <w:rPr>
                <w:rFonts w:eastAsia="" w:cs="Times New Roman" w:ascii="Times New Roman" w:hAnsi="Times New Roman" w:eastAsiaTheme="majorEastAsia"/>
                <w:b/>
                <w:bCs/>
                <w:sz w:val="24"/>
                <w:szCs w:val="20"/>
              </w:rPr>
              <w:t>BASTA</w:t>
            </w:r>
            <w:r/>
          </w:p>
        </w:tc>
        <w:tc>
          <w:tcPr>
            <w:tcW w:w="1469" w:type="dxa"/>
            <w:tcBorders/>
            <w:shd w:color="auto" w:fill="FFFFFF" w:val="clear"/>
            <w:tcMar>
              <w:left w:w="-10" w:type="dxa"/>
            </w:tcMar>
          </w:tcPr>
          <w:p>
            <w:pPr>
              <w:pStyle w:val="Normal"/>
              <w:spacing w:lineRule="auto" w:line="240" w:before="0" w:after="0"/>
              <w:jc w:val="both"/>
              <w:rPr>
                <w:sz w:val="20"/>
                <w:sz w:val="20"/>
                <w:szCs w:val="20"/>
                <w:rFonts w:eastAsia="Times New Roman" w:cs="Times New Roman"/>
                <w:lang w:eastAsia="pt-BR"/>
              </w:rPr>
            </w:pPr>
            <w:r>
              <w:rPr>
                <w:rFonts w:eastAsia="Times New Roman" w:cs="Times New Roman" w:ascii="Times New Roman" w:hAnsi="Times New Roman"/>
                <w:sz w:val="24"/>
                <w:szCs w:val="20"/>
                <w:lang w:eastAsia="pt-BR"/>
              </w:rPr>
              <w:t>Guarapuava</w:t>
            </w:r>
            <w:r/>
          </w:p>
        </w:tc>
        <w:tc>
          <w:tcPr>
            <w:tcW w:w="1919" w:type="dxa"/>
            <w:tcBorders/>
            <w:shd w:color="auto" w:fill="FFFFFF" w:val="clear"/>
            <w:tcMar>
              <w:left w:w="-10" w:type="dxa"/>
            </w:tcMar>
          </w:tcPr>
          <w:p>
            <w:pPr>
              <w:pStyle w:val="Normal"/>
              <w:spacing w:lineRule="auto" w:line="240" w:before="0" w:after="0"/>
              <w:jc w:val="both"/>
              <w:rPr>
                <w:sz w:val="20"/>
                <w:sz w:val="20"/>
                <w:szCs w:val="20"/>
              </w:rPr>
            </w:pPr>
            <w:r>
              <w:rPr>
                <w:rFonts w:ascii="Times New Roman" w:hAnsi="Times New Roman"/>
                <w:sz w:val="24"/>
                <w:szCs w:val="20"/>
              </w:rPr>
              <w:t>Não há registro dos dados de reincidência.</w:t>
            </w:r>
            <w:r/>
          </w:p>
        </w:tc>
        <w:tc>
          <w:tcPr>
            <w:tcW w:w="3554" w:type="dxa"/>
            <w:tcBorders/>
            <w:shd w:color="auto" w:fill="FFFFFF" w:val="clear"/>
            <w:tcMar>
              <w:left w:w="-10" w:type="dxa"/>
            </w:tcMar>
          </w:tcPr>
          <w:p>
            <w:pPr>
              <w:pStyle w:val="Normal"/>
              <w:spacing w:lineRule="auto" w:line="240" w:before="0" w:after="0"/>
              <w:jc w:val="both"/>
              <w:rPr>
                <w:sz w:val="20"/>
                <w:sz w:val="20"/>
                <w:szCs w:val="20"/>
                <w:rFonts w:cs="Times New Roman"/>
              </w:rPr>
            </w:pPr>
            <w:r>
              <w:rPr>
                <w:rFonts w:cs="Times New Roman" w:ascii="Times New Roman" w:hAnsi="Times New Roman"/>
                <w:sz w:val="24"/>
                <w:szCs w:val="20"/>
              </w:rPr>
              <w:t>Patronato Municipal</w:t>
            </w:r>
            <w:r/>
          </w:p>
        </w:tc>
        <w:tc>
          <w:tcPr>
            <w:tcW w:w="6138" w:type="dxa"/>
            <w:tcBorders/>
            <w:shd w:color="auto" w:fill="FFFFFF" w:val="clear"/>
            <w:tcMar>
              <w:left w:w="-10" w:type="dxa"/>
            </w:tcMar>
          </w:tcPr>
          <w:p>
            <w:pPr>
              <w:pStyle w:val="Normal"/>
              <w:spacing w:lineRule="auto" w:line="240" w:before="0" w:after="0"/>
              <w:jc w:val="both"/>
            </w:pPr>
            <w:r>
              <w:rPr>
                <w:rFonts w:cs="Times New Roman" w:ascii="Times New Roman" w:hAnsi="Times New Roman"/>
                <w:sz w:val="24"/>
                <w:szCs w:val="20"/>
              </w:rPr>
              <w:t>O programa é realizado semanalmente às quartas-feiras, no período. São realizados oito encontros de quatro horas mensais. São atendidos, em média, 12 agressores. No ano de 2015, aconteceram 3 edições do Programa Basta. De maio a junho, foram realizados 8 encontros que contou com 5 participantes efetivos. Já de junho a julho, foram 8 encontros com 8 participantes efetivos. E de setembro a novembro, também foram realizados 8 encontros, já com 9 participantes efetivos. Em março, teve início nova edição do programa e conta com 12 participantes efetivos.</w:t>
            </w:r>
            <w:r/>
          </w:p>
        </w:tc>
      </w:tr>
      <w:tr>
        <w:trPr>
          <w:trHeight w:val="693" w:hRule="atLeast"/>
        </w:trPr>
        <w:tc>
          <w:tcPr>
            <w:tcW w:w="2115" w:type="dxa"/>
            <w:tcBorders/>
            <w:shd w:color="auto" w:fill="CCCCCC" w:val="clear"/>
            <w:tcMar>
              <w:left w:w="-10" w:type="dxa"/>
            </w:tcMar>
          </w:tcPr>
          <w:p>
            <w:pPr>
              <w:pStyle w:val="Normal"/>
              <w:spacing w:lineRule="auto" w:line="240" w:before="0" w:after="0"/>
              <w:rPr>
                <w:sz w:val="20"/>
                <w:sz w:val="20"/>
                <w:szCs w:val="20"/>
                <w:rFonts w:cs="Times New Roman"/>
              </w:rPr>
            </w:pPr>
            <w:r>
              <w:rPr>
                <w:rFonts w:eastAsia="" w:cs="Times New Roman" w:ascii="Times New Roman" w:hAnsi="Times New Roman" w:eastAsiaTheme="majorEastAsia"/>
                <w:b/>
                <w:bCs/>
                <w:sz w:val="24"/>
                <w:szCs w:val="20"/>
              </w:rPr>
              <w:t>BASTA</w:t>
            </w:r>
            <w:r/>
          </w:p>
        </w:tc>
        <w:tc>
          <w:tcPr>
            <w:tcW w:w="1469" w:type="dxa"/>
            <w:tcBorders/>
            <w:shd w:color="auto" w:fill="CCCCCC" w:val="clear"/>
            <w:tcMar>
              <w:left w:w="-10" w:type="dxa"/>
            </w:tcMar>
          </w:tcPr>
          <w:p>
            <w:pPr>
              <w:pStyle w:val="Normal"/>
              <w:spacing w:lineRule="auto" w:line="240" w:before="0" w:after="0"/>
              <w:jc w:val="both"/>
              <w:rPr>
                <w:sz w:val="20"/>
                <w:sz w:val="20"/>
                <w:szCs w:val="20"/>
                <w:rFonts w:eastAsia="Times New Roman" w:cs="Times New Roman"/>
                <w:lang w:eastAsia="pt-BR"/>
              </w:rPr>
            </w:pPr>
            <w:r>
              <w:rPr>
                <w:rFonts w:eastAsia="Times New Roman" w:cs="Times New Roman" w:ascii="Times New Roman" w:hAnsi="Times New Roman"/>
                <w:sz w:val="24"/>
                <w:szCs w:val="20"/>
                <w:lang w:eastAsia="pt-BR"/>
              </w:rPr>
              <w:t>Maringá</w:t>
            </w:r>
            <w:r/>
          </w:p>
        </w:tc>
        <w:tc>
          <w:tcPr>
            <w:tcW w:w="1919" w:type="dxa"/>
            <w:tcBorders/>
            <w:shd w:color="auto" w:fill="CCCCCC" w:val="clear"/>
            <w:tcMar>
              <w:left w:w="-10" w:type="dxa"/>
            </w:tcMar>
          </w:tcPr>
          <w:p>
            <w:pPr>
              <w:pStyle w:val="Normal"/>
              <w:spacing w:lineRule="auto" w:line="240" w:before="0" w:after="0"/>
              <w:jc w:val="both"/>
              <w:rPr>
                <w:sz w:val="20"/>
                <w:sz w:val="20"/>
                <w:szCs w:val="20"/>
              </w:rPr>
            </w:pPr>
            <w:r>
              <w:rPr>
                <w:rFonts w:ascii="Times New Roman" w:hAnsi="Times New Roman"/>
                <w:sz w:val="24"/>
                <w:szCs w:val="20"/>
              </w:rPr>
              <w:t>Não há registro dos dados de reincidência.</w:t>
            </w:r>
            <w:r/>
          </w:p>
        </w:tc>
        <w:tc>
          <w:tcPr>
            <w:tcW w:w="3554" w:type="dxa"/>
            <w:tcBorders/>
            <w:shd w:color="auto" w:fill="CCCCCC" w:val="clear"/>
            <w:tcMar>
              <w:left w:w="-10" w:type="dxa"/>
            </w:tcMar>
          </w:tcPr>
          <w:p>
            <w:pPr>
              <w:pStyle w:val="Normal"/>
              <w:spacing w:lineRule="auto" w:line="240" w:before="0" w:after="0"/>
              <w:jc w:val="both"/>
            </w:pPr>
            <w:r>
              <w:rPr>
                <w:rFonts w:cs="Times New Roman" w:ascii="Times New Roman" w:hAnsi="Times New Roman"/>
                <w:sz w:val="24"/>
                <w:szCs w:val="20"/>
              </w:rPr>
              <w:t>Patronato Municipal e Universidade</w:t>
            </w:r>
            <w:r/>
          </w:p>
        </w:tc>
        <w:tc>
          <w:tcPr>
            <w:tcW w:w="6138" w:type="dxa"/>
            <w:tcBorders/>
            <w:shd w:color="auto" w:fill="CCCCCC" w:val="clear"/>
            <w:tcMar>
              <w:left w:w="-10" w:type="dxa"/>
            </w:tcMar>
          </w:tcPr>
          <w:p>
            <w:pPr>
              <w:pStyle w:val="Normal"/>
              <w:spacing w:lineRule="auto" w:line="240" w:before="0" w:after="0"/>
              <w:jc w:val="both"/>
            </w:pPr>
            <w:r>
              <w:rPr>
                <w:rFonts w:cs="Times New Roman" w:ascii="Times New Roman" w:hAnsi="Times New Roman"/>
                <w:sz w:val="24"/>
                <w:szCs w:val="20"/>
              </w:rPr>
              <w:t xml:space="preserve">Em 2015, foi realizado um grupo do BASTA com 10 homens. Em 2016, o início do segundo grupo está previsto para o mês de abril e será realizado com 12 homens. </w:t>
            </w:r>
            <w:r/>
          </w:p>
        </w:tc>
      </w:tr>
      <w:tr>
        <w:trPr>
          <w:trHeight w:val="693" w:hRule="atLeast"/>
        </w:trPr>
        <w:tc>
          <w:tcPr>
            <w:tcW w:w="2115" w:type="dxa"/>
            <w:tcBorders/>
            <w:shd w:color="auto" w:fill="FFFFFF" w:val="clear"/>
            <w:tcMar>
              <w:left w:w="-10" w:type="dxa"/>
            </w:tcMar>
          </w:tcPr>
          <w:p>
            <w:pPr>
              <w:pStyle w:val="Normal"/>
              <w:spacing w:lineRule="auto" w:line="240" w:before="0" w:after="0"/>
              <w:rPr>
                <w:sz w:val="20"/>
                <w:sz w:val="20"/>
                <w:szCs w:val="20"/>
                <w:rFonts w:cs="Times New Roman"/>
              </w:rPr>
            </w:pPr>
            <w:r>
              <w:rPr>
                <w:rFonts w:eastAsia="" w:cs="Times New Roman" w:ascii="Times New Roman" w:hAnsi="Times New Roman" w:eastAsiaTheme="majorEastAsia"/>
                <w:b/>
                <w:bCs/>
                <w:sz w:val="24"/>
                <w:szCs w:val="20"/>
              </w:rPr>
              <w:t>BASTA</w:t>
            </w:r>
            <w:r/>
          </w:p>
        </w:tc>
        <w:tc>
          <w:tcPr>
            <w:tcW w:w="1469" w:type="dxa"/>
            <w:tcBorders/>
            <w:shd w:color="auto" w:fill="FFFFFF" w:val="clear"/>
            <w:tcMar>
              <w:left w:w="-10" w:type="dxa"/>
            </w:tcMar>
          </w:tcPr>
          <w:p>
            <w:pPr>
              <w:pStyle w:val="Normal"/>
              <w:spacing w:lineRule="auto" w:line="240" w:before="0" w:after="0"/>
              <w:jc w:val="both"/>
              <w:rPr>
                <w:sz w:val="20"/>
                <w:sz w:val="20"/>
                <w:szCs w:val="20"/>
                <w:rFonts w:eastAsia="Times New Roman" w:cs="Times New Roman"/>
                <w:lang w:eastAsia="pt-BR"/>
              </w:rPr>
            </w:pPr>
            <w:r>
              <w:rPr>
                <w:rFonts w:eastAsia="Times New Roman" w:cs="Times New Roman" w:ascii="Times New Roman" w:hAnsi="Times New Roman"/>
                <w:sz w:val="24"/>
                <w:szCs w:val="20"/>
                <w:lang w:eastAsia="pt-BR"/>
              </w:rPr>
              <w:t>Irati</w:t>
            </w:r>
            <w:r/>
          </w:p>
        </w:tc>
        <w:tc>
          <w:tcPr>
            <w:tcW w:w="1919" w:type="dxa"/>
            <w:tcBorders/>
            <w:shd w:color="auto" w:fill="FFFFFF" w:val="clear"/>
            <w:tcMar>
              <w:left w:w="-10" w:type="dxa"/>
            </w:tcMar>
          </w:tcPr>
          <w:p>
            <w:pPr>
              <w:pStyle w:val="Normal"/>
              <w:spacing w:lineRule="auto" w:line="240" w:before="0" w:after="0"/>
              <w:jc w:val="both"/>
              <w:rPr>
                <w:sz w:val="20"/>
                <w:sz w:val="20"/>
                <w:szCs w:val="20"/>
              </w:rPr>
            </w:pPr>
            <w:r>
              <w:rPr>
                <w:rFonts w:ascii="Times New Roman" w:hAnsi="Times New Roman"/>
                <w:sz w:val="24"/>
                <w:szCs w:val="20"/>
              </w:rPr>
              <w:t>Não há registro dos dados de reincidência.</w:t>
            </w:r>
            <w:r/>
          </w:p>
        </w:tc>
        <w:tc>
          <w:tcPr>
            <w:tcW w:w="3554" w:type="dxa"/>
            <w:tcBorders/>
            <w:shd w:color="auto" w:fill="FFFFFF" w:val="clear"/>
            <w:tcMar>
              <w:left w:w="-10" w:type="dxa"/>
            </w:tcMar>
          </w:tcPr>
          <w:p>
            <w:pPr>
              <w:pStyle w:val="Normal"/>
              <w:spacing w:lineRule="auto" w:line="240" w:before="0" w:after="0"/>
              <w:jc w:val="both"/>
              <w:rPr>
                <w:sz w:val="20"/>
                <w:sz w:val="20"/>
                <w:szCs w:val="20"/>
                <w:rFonts w:cs="Times New Roman"/>
              </w:rPr>
            </w:pPr>
            <w:r>
              <w:rPr>
                <w:rFonts w:cs="Times New Roman" w:ascii="Times New Roman" w:hAnsi="Times New Roman"/>
                <w:sz w:val="24"/>
                <w:szCs w:val="20"/>
              </w:rPr>
              <w:t>Patronato Municipal</w:t>
            </w:r>
            <w:r/>
          </w:p>
        </w:tc>
        <w:tc>
          <w:tcPr>
            <w:tcW w:w="6138" w:type="dxa"/>
            <w:tcBorders/>
            <w:shd w:color="auto" w:fill="FFFFFF" w:val="clear"/>
            <w:tcMar>
              <w:left w:w="-10" w:type="dxa"/>
            </w:tcMar>
          </w:tcPr>
          <w:p>
            <w:pPr>
              <w:pStyle w:val="Normal"/>
              <w:spacing w:lineRule="auto" w:line="240" w:before="0" w:after="0"/>
              <w:jc w:val="both"/>
              <w:rPr>
                <w:sz w:val="24"/>
                <w:sz w:val="24"/>
                <w:szCs w:val="20"/>
                <w:rFonts w:ascii="Times New Roman" w:hAnsi="Times New Roman" w:cs="Times New Roman"/>
                <w:color w:val="FF6600"/>
              </w:rPr>
            </w:pPr>
            <w:r>
              <w:rPr>
                <w:rFonts w:cs="Times New Roman" w:ascii="Times New Roman" w:hAnsi="Times New Roman"/>
                <w:sz w:val="24"/>
                <w:szCs w:val="20"/>
              </w:rPr>
              <w:t xml:space="preserve">Grupos de reflexão que visam acolher o assistido, trabalhar conceitos como gênero, violência doméstica, o delito em si, a fim de internalizar uma nova conduta. </w:t>
            </w:r>
            <w:r/>
          </w:p>
        </w:tc>
      </w:tr>
      <w:tr>
        <w:trPr>
          <w:trHeight w:val="693" w:hRule="atLeast"/>
        </w:trPr>
        <w:tc>
          <w:tcPr>
            <w:tcW w:w="2115" w:type="dxa"/>
            <w:tcBorders/>
            <w:shd w:color="auto" w:fill="CCCCCC" w:val="clear"/>
            <w:tcMar>
              <w:left w:w="-10" w:type="dxa"/>
            </w:tcMar>
          </w:tcPr>
          <w:p>
            <w:pPr>
              <w:pStyle w:val="Normal"/>
              <w:spacing w:lineRule="auto" w:line="240" w:before="0" w:after="0"/>
              <w:rPr>
                <w:sz w:val="20"/>
                <w:sz w:val="20"/>
                <w:szCs w:val="20"/>
                <w:rFonts w:cs="Times New Roman"/>
              </w:rPr>
            </w:pPr>
            <w:r>
              <w:rPr>
                <w:rFonts w:eastAsia="" w:cs="Times New Roman" w:ascii="Times New Roman" w:hAnsi="Times New Roman" w:eastAsiaTheme="majorEastAsia"/>
                <w:b/>
                <w:bCs/>
                <w:sz w:val="24"/>
                <w:szCs w:val="20"/>
              </w:rPr>
              <w:t>BASTA</w:t>
            </w:r>
            <w:r/>
          </w:p>
        </w:tc>
        <w:tc>
          <w:tcPr>
            <w:tcW w:w="1469" w:type="dxa"/>
            <w:tcBorders/>
            <w:shd w:color="auto" w:fill="CCCCCC" w:val="clear"/>
            <w:tcMar>
              <w:left w:w="-10" w:type="dxa"/>
            </w:tcMar>
          </w:tcPr>
          <w:p>
            <w:pPr>
              <w:pStyle w:val="Normal"/>
              <w:spacing w:lineRule="auto" w:line="240" w:before="0" w:after="0"/>
              <w:jc w:val="both"/>
              <w:rPr>
                <w:sz w:val="20"/>
                <w:sz w:val="20"/>
                <w:szCs w:val="20"/>
                <w:rFonts w:eastAsia="Times New Roman" w:cs="Times New Roman"/>
                <w:lang w:eastAsia="pt-BR"/>
              </w:rPr>
            </w:pPr>
            <w:r>
              <w:rPr>
                <w:rFonts w:eastAsia="Times New Roman" w:cs="Times New Roman" w:ascii="Times New Roman" w:hAnsi="Times New Roman"/>
                <w:sz w:val="24"/>
                <w:szCs w:val="20"/>
                <w:lang w:eastAsia="pt-BR"/>
              </w:rPr>
              <w:t>Jacarezinho</w:t>
            </w:r>
            <w:r/>
          </w:p>
        </w:tc>
        <w:tc>
          <w:tcPr>
            <w:tcW w:w="1919" w:type="dxa"/>
            <w:tcBorders/>
            <w:shd w:color="auto" w:fill="CCCCCC" w:val="clear"/>
            <w:tcMar>
              <w:left w:w="-10" w:type="dxa"/>
            </w:tcMar>
          </w:tcPr>
          <w:p>
            <w:pPr>
              <w:pStyle w:val="Normal"/>
              <w:spacing w:lineRule="auto" w:line="240" w:before="0" w:after="0"/>
              <w:jc w:val="both"/>
              <w:rPr>
                <w:sz w:val="20"/>
                <w:sz w:val="20"/>
                <w:szCs w:val="20"/>
              </w:rPr>
            </w:pPr>
            <w:r>
              <w:rPr>
                <w:rFonts w:ascii="Times New Roman" w:hAnsi="Times New Roman"/>
                <w:sz w:val="24"/>
                <w:szCs w:val="20"/>
              </w:rPr>
              <w:t>Não há registro dos dados de reincidência.</w:t>
            </w:r>
            <w:r/>
          </w:p>
        </w:tc>
        <w:tc>
          <w:tcPr>
            <w:tcW w:w="3554" w:type="dxa"/>
            <w:tcBorders/>
            <w:shd w:color="auto" w:fill="CCCCCC" w:val="clear"/>
            <w:tcMar>
              <w:left w:w="-10" w:type="dxa"/>
            </w:tcMar>
          </w:tcPr>
          <w:p>
            <w:pPr>
              <w:pStyle w:val="Normal"/>
              <w:spacing w:lineRule="auto" w:line="240" w:before="0" w:after="0"/>
              <w:jc w:val="both"/>
              <w:rPr>
                <w:sz w:val="20"/>
                <w:sz w:val="20"/>
                <w:szCs w:val="20"/>
                <w:rFonts w:cs="Times New Roman"/>
              </w:rPr>
            </w:pPr>
            <w:r>
              <w:rPr>
                <w:rFonts w:cs="Times New Roman" w:ascii="Times New Roman" w:hAnsi="Times New Roman"/>
                <w:sz w:val="24"/>
                <w:szCs w:val="20"/>
              </w:rPr>
              <w:t>Patronato Municipal</w:t>
            </w:r>
            <w:r/>
          </w:p>
        </w:tc>
        <w:tc>
          <w:tcPr>
            <w:tcW w:w="6138" w:type="dxa"/>
            <w:tcBorders/>
            <w:shd w:color="auto" w:fill="CCCCCC" w:val="clear"/>
            <w:tcMar>
              <w:left w:w="-10" w:type="dxa"/>
            </w:tcMar>
          </w:tcPr>
          <w:p>
            <w:pPr>
              <w:pStyle w:val="Normal"/>
              <w:spacing w:lineRule="auto" w:line="240" w:before="0" w:after="0"/>
              <w:jc w:val="both"/>
            </w:pPr>
            <w:r>
              <w:rPr>
                <w:rFonts w:cs="Times New Roman" w:ascii="Times New Roman" w:hAnsi="Times New Roman"/>
                <w:sz w:val="24"/>
                <w:szCs w:val="20"/>
              </w:rPr>
              <w:t>Grupos de reflexão que visam acolher o assistido, trabalhar conceitos como gênero, violência doméstica, o delito em si, a fim de internalizar uma nova conduta. Os grupos são organizados em 8 encontros, às sextas-feiras, com duração em torno de uma hora e meia, dependendo do tema abordado. No ano de 2014, foram atendidos 12 agressores e em 2015, participaram do programa 7 agressores. O projeto Basta acontecia na Universidade Estadual do Norte do Paraná (UNEP), no Centro de Ciências Sociais Aplicadas. Já em 2016, o programa, que já conta com 8 atendidos, acontece na UNEP, no Centro de Ciências Humanas e Educação.</w:t>
            </w:r>
            <w:r/>
          </w:p>
        </w:tc>
      </w:tr>
      <w:tr>
        <w:trPr>
          <w:trHeight w:val="693" w:hRule="atLeast"/>
        </w:trPr>
        <w:tc>
          <w:tcPr>
            <w:tcW w:w="2115" w:type="dxa"/>
            <w:tcBorders/>
            <w:shd w:color="auto" w:fill="FFFFFF" w:val="clear"/>
            <w:tcMar>
              <w:left w:w="-10" w:type="dxa"/>
            </w:tcMar>
          </w:tcPr>
          <w:p>
            <w:pPr>
              <w:pStyle w:val="Normal"/>
              <w:spacing w:lineRule="auto" w:line="240" w:before="0" w:after="0"/>
              <w:rPr>
                <w:sz w:val="20"/>
                <w:sz w:val="20"/>
                <w:szCs w:val="20"/>
                <w:rFonts w:cs="Times New Roman"/>
              </w:rPr>
            </w:pPr>
            <w:r>
              <w:rPr>
                <w:rFonts w:eastAsia="" w:cs="Times New Roman" w:ascii="Times New Roman" w:hAnsi="Times New Roman" w:eastAsiaTheme="majorEastAsia"/>
                <w:b/>
                <w:bCs/>
                <w:sz w:val="24"/>
                <w:szCs w:val="20"/>
              </w:rPr>
              <w:t>BASTA</w:t>
            </w:r>
            <w:r/>
          </w:p>
        </w:tc>
        <w:tc>
          <w:tcPr>
            <w:tcW w:w="1469" w:type="dxa"/>
            <w:tcBorders/>
            <w:shd w:color="auto" w:fill="FFFFFF" w:val="clear"/>
            <w:tcMar>
              <w:left w:w="-10" w:type="dxa"/>
            </w:tcMar>
          </w:tcPr>
          <w:p>
            <w:pPr>
              <w:pStyle w:val="Normal"/>
              <w:spacing w:lineRule="auto" w:line="240" w:before="0" w:after="0"/>
              <w:jc w:val="both"/>
              <w:rPr>
                <w:sz w:val="20"/>
                <w:sz w:val="20"/>
                <w:szCs w:val="20"/>
                <w:rFonts w:eastAsia="Times New Roman" w:cs="Times New Roman"/>
                <w:lang w:eastAsia="pt-BR"/>
              </w:rPr>
            </w:pPr>
            <w:r>
              <w:rPr>
                <w:rFonts w:eastAsia="Times New Roman" w:cs="Times New Roman" w:ascii="Times New Roman" w:hAnsi="Times New Roman"/>
                <w:sz w:val="24"/>
                <w:szCs w:val="20"/>
                <w:lang w:eastAsia="pt-BR"/>
              </w:rPr>
              <w:t>Paranaguá</w:t>
            </w:r>
            <w:r/>
          </w:p>
        </w:tc>
        <w:tc>
          <w:tcPr>
            <w:tcW w:w="1919" w:type="dxa"/>
            <w:tcBorders/>
            <w:shd w:color="auto" w:fill="FFFFFF" w:val="clear"/>
            <w:tcMar>
              <w:left w:w="-10" w:type="dxa"/>
            </w:tcMar>
          </w:tcPr>
          <w:p>
            <w:pPr>
              <w:pStyle w:val="Normal"/>
              <w:spacing w:lineRule="auto" w:line="240" w:before="0" w:after="0"/>
              <w:jc w:val="both"/>
              <w:rPr>
                <w:sz w:val="20"/>
                <w:sz w:val="20"/>
                <w:szCs w:val="20"/>
              </w:rPr>
            </w:pPr>
            <w:r>
              <w:rPr>
                <w:rFonts w:ascii="Times New Roman" w:hAnsi="Times New Roman"/>
                <w:sz w:val="24"/>
                <w:szCs w:val="20"/>
              </w:rPr>
              <w:t>Não há registro dos dados de reincidência.</w:t>
            </w:r>
            <w:r/>
          </w:p>
        </w:tc>
        <w:tc>
          <w:tcPr>
            <w:tcW w:w="3554" w:type="dxa"/>
            <w:tcBorders/>
            <w:shd w:color="auto" w:fill="FFFFFF" w:val="clear"/>
            <w:tcMar>
              <w:left w:w="-10" w:type="dxa"/>
            </w:tcMar>
          </w:tcPr>
          <w:p>
            <w:pPr>
              <w:pStyle w:val="Normal"/>
              <w:spacing w:lineRule="auto" w:line="240" w:before="0" w:after="0"/>
              <w:jc w:val="both"/>
              <w:rPr>
                <w:sz w:val="20"/>
                <w:sz w:val="20"/>
                <w:szCs w:val="20"/>
                <w:rFonts w:cs="Times New Roman"/>
              </w:rPr>
            </w:pPr>
            <w:r>
              <w:rPr>
                <w:rFonts w:cs="Times New Roman" w:ascii="Times New Roman" w:hAnsi="Times New Roman"/>
                <w:sz w:val="24"/>
                <w:szCs w:val="20"/>
              </w:rPr>
              <w:t>Patronato Municipal</w:t>
            </w:r>
            <w:r/>
          </w:p>
        </w:tc>
        <w:tc>
          <w:tcPr>
            <w:tcW w:w="6138" w:type="dxa"/>
            <w:tcBorders/>
            <w:shd w:color="auto" w:fill="FFFFFF" w:val="clear"/>
            <w:tcMar>
              <w:left w:w="-10" w:type="dxa"/>
            </w:tcMar>
          </w:tcPr>
          <w:p>
            <w:pPr>
              <w:pStyle w:val="Normal"/>
              <w:spacing w:lineRule="auto" w:line="240" w:before="0" w:after="0"/>
              <w:jc w:val="both"/>
              <w:rPr>
                <w:sz w:val="20"/>
                <w:sz w:val="20"/>
                <w:szCs w:val="20"/>
                <w:rFonts w:cs="Times New Roman"/>
              </w:rPr>
            </w:pPr>
            <w:r>
              <w:rPr>
                <w:rFonts w:cs="Times New Roman" w:ascii="Times New Roman" w:hAnsi="Times New Roman"/>
                <w:sz w:val="24"/>
                <w:szCs w:val="20"/>
              </w:rPr>
              <w:t>Grupos de reflexão que visam acolher o assistido, trabalhar conceitos como gênero, violência doméstica, o delito em si, a fim de internalizar uma nova conduta. Em função da demanda apenas dois assistidos foram atendidos.</w:t>
            </w:r>
            <w:r/>
          </w:p>
        </w:tc>
      </w:tr>
      <w:tr>
        <w:trPr>
          <w:trHeight w:val="693" w:hRule="atLeast"/>
        </w:trPr>
        <w:tc>
          <w:tcPr>
            <w:tcW w:w="2115" w:type="dxa"/>
            <w:tcBorders/>
            <w:shd w:color="auto" w:fill="CCCCCC" w:val="clear"/>
            <w:tcMar>
              <w:left w:w="-10" w:type="dxa"/>
            </w:tcMar>
          </w:tcPr>
          <w:p>
            <w:pPr>
              <w:pStyle w:val="Normal"/>
              <w:spacing w:lineRule="auto" w:line="240" w:before="0" w:after="0"/>
              <w:rPr>
                <w:sz w:val="20"/>
                <w:sz w:val="20"/>
                <w:szCs w:val="20"/>
                <w:rFonts w:cs="Times New Roman"/>
              </w:rPr>
            </w:pPr>
            <w:r>
              <w:rPr>
                <w:rFonts w:eastAsia="" w:cs="Times New Roman" w:ascii="Times New Roman" w:hAnsi="Times New Roman" w:eastAsiaTheme="majorEastAsia"/>
                <w:b/>
                <w:bCs/>
                <w:sz w:val="24"/>
                <w:szCs w:val="20"/>
              </w:rPr>
              <w:t>BASTA</w:t>
            </w:r>
            <w:r/>
          </w:p>
        </w:tc>
        <w:tc>
          <w:tcPr>
            <w:tcW w:w="1469" w:type="dxa"/>
            <w:tcBorders/>
            <w:shd w:color="auto" w:fill="CCCCCC" w:val="clear"/>
            <w:tcMar>
              <w:left w:w="-10" w:type="dxa"/>
            </w:tcMar>
          </w:tcPr>
          <w:p>
            <w:pPr>
              <w:pStyle w:val="Normal"/>
              <w:spacing w:lineRule="auto" w:line="240" w:before="0" w:after="0"/>
              <w:jc w:val="both"/>
              <w:rPr>
                <w:sz w:val="20"/>
                <w:sz w:val="20"/>
                <w:szCs w:val="20"/>
                <w:rFonts w:eastAsia="Times New Roman" w:cs="Times New Roman"/>
                <w:lang w:eastAsia="pt-BR"/>
              </w:rPr>
            </w:pPr>
            <w:r>
              <w:rPr>
                <w:rFonts w:eastAsia="Times New Roman" w:cs="Times New Roman" w:ascii="Times New Roman" w:hAnsi="Times New Roman"/>
                <w:sz w:val="24"/>
                <w:szCs w:val="20"/>
                <w:lang w:eastAsia="pt-BR"/>
              </w:rPr>
              <w:t>Paranavaí</w:t>
            </w:r>
            <w:r/>
          </w:p>
        </w:tc>
        <w:tc>
          <w:tcPr>
            <w:tcW w:w="1919" w:type="dxa"/>
            <w:tcBorders/>
            <w:shd w:color="auto" w:fill="CCCCCC" w:val="clear"/>
            <w:tcMar>
              <w:left w:w="-10" w:type="dxa"/>
            </w:tcMar>
          </w:tcPr>
          <w:p>
            <w:pPr>
              <w:pStyle w:val="Normal"/>
              <w:spacing w:lineRule="auto" w:line="240" w:before="0" w:after="0"/>
              <w:jc w:val="both"/>
              <w:rPr>
                <w:sz w:val="20"/>
                <w:sz w:val="20"/>
                <w:szCs w:val="20"/>
              </w:rPr>
            </w:pPr>
            <w:r>
              <w:rPr>
                <w:rFonts w:ascii="Times New Roman" w:hAnsi="Times New Roman"/>
                <w:sz w:val="24"/>
                <w:szCs w:val="20"/>
              </w:rPr>
              <w:t>Não há registro dos dados de reincidência.</w:t>
            </w:r>
            <w:r/>
          </w:p>
        </w:tc>
        <w:tc>
          <w:tcPr>
            <w:tcW w:w="3554" w:type="dxa"/>
            <w:tcBorders/>
            <w:shd w:color="auto" w:fill="CCCCCC" w:val="clear"/>
            <w:tcMar>
              <w:left w:w="-10" w:type="dxa"/>
            </w:tcMar>
          </w:tcPr>
          <w:p>
            <w:pPr>
              <w:pStyle w:val="Normal"/>
              <w:spacing w:lineRule="auto" w:line="240" w:before="0" w:after="0"/>
              <w:jc w:val="both"/>
              <w:rPr>
                <w:sz w:val="20"/>
                <w:sz w:val="20"/>
                <w:szCs w:val="20"/>
                <w:rFonts w:cs="Times New Roman"/>
              </w:rPr>
            </w:pPr>
            <w:r>
              <w:rPr>
                <w:rFonts w:cs="Times New Roman" w:ascii="Times New Roman" w:hAnsi="Times New Roman"/>
                <w:sz w:val="24"/>
                <w:szCs w:val="20"/>
              </w:rPr>
              <w:t>Patronato Municipal</w:t>
            </w:r>
            <w:r/>
          </w:p>
        </w:tc>
        <w:tc>
          <w:tcPr>
            <w:tcW w:w="6138" w:type="dxa"/>
            <w:tcBorders/>
            <w:shd w:color="auto" w:fill="CCCCCC" w:val="clear"/>
            <w:tcMar>
              <w:left w:w="-10" w:type="dxa"/>
            </w:tcMar>
          </w:tcPr>
          <w:p>
            <w:pPr>
              <w:pStyle w:val="Normal"/>
              <w:spacing w:lineRule="auto" w:line="240" w:before="0" w:after="0"/>
              <w:jc w:val="both"/>
            </w:pPr>
            <w:r>
              <w:rPr>
                <w:rFonts w:cs="Times New Roman" w:ascii="Times New Roman" w:hAnsi="Times New Roman"/>
                <w:sz w:val="24"/>
                <w:szCs w:val="20"/>
              </w:rPr>
              <w:t>Devido à falta de espaço físico, o Programa é realizado apenas em um único encontro, com duração de quatro horas. Apesar dos juízes indicarem na sentença a necessidade de acompanhamento específico ao acompanharem para o Patronato, o programa não é obrigatório para o agressor, o que acarreta um número elevado de desistência. O programa atende em média quatro agressores por mês.</w:t>
            </w:r>
            <w:r/>
          </w:p>
        </w:tc>
      </w:tr>
      <w:tr>
        <w:trPr>
          <w:trHeight w:val="693" w:hRule="atLeast"/>
        </w:trPr>
        <w:tc>
          <w:tcPr>
            <w:tcW w:w="2115" w:type="dxa"/>
            <w:tcBorders/>
            <w:shd w:color="auto" w:fill="FFFFFF" w:val="clear"/>
            <w:tcMar>
              <w:left w:w="-10" w:type="dxa"/>
            </w:tcMar>
          </w:tcPr>
          <w:p>
            <w:pPr>
              <w:pStyle w:val="Normal"/>
              <w:spacing w:lineRule="auto" w:line="240" w:before="0" w:after="0"/>
              <w:rPr>
                <w:sz w:val="20"/>
                <w:sz w:val="20"/>
                <w:szCs w:val="20"/>
                <w:rFonts w:cs="Times New Roman"/>
              </w:rPr>
            </w:pPr>
            <w:r>
              <w:rPr>
                <w:rFonts w:eastAsia="" w:cs="Times New Roman" w:ascii="Times New Roman" w:hAnsi="Times New Roman" w:eastAsiaTheme="majorEastAsia"/>
                <w:b/>
                <w:bCs/>
                <w:sz w:val="24"/>
                <w:szCs w:val="20"/>
              </w:rPr>
              <w:t>BASTA</w:t>
            </w:r>
            <w:r/>
          </w:p>
        </w:tc>
        <w:tc>
          <w:tcPr>
            <w:tcW w:w="1469" w:type="dxa"/>
            <w:tcBorders/>
            <w:shd w:color="auto" w:fill="FFFFFF" w:val="clear"/>
            <w:tcMar>
              <w:left w:w="-10" w:type="dxa"/>
            </w:tcMar>
          </w:tcPr>
          <w:p>
            <w:pPr>
              <w:pStyle w:val="Normal"/>
              <w:spacing w:lineRule="auto" w:line="240" w:before="0" w:after="0"/>
              <w:jc w:val="both"/>
              <w:rPr>
                <w:sz w:val="20"/>
                <w:sz w:val="20"/>
                <w:szCs w:val="20"/>
                <w:rFonts w:eastAsia="Times New Roman" w:cs="Times New Roman"/>
                <w:lang w:eastAsia="pt-BR"/>
              </w:rPr>
            </w:pPr>
            <w:r>
              <w:rPr>
                <w:rFonts w:eastAsia="Times New Roman" w:cs="Times New Roman" w:ascii="Times New Roman" w:hAnsi="Times New Roman"/>
                <w:sz w:val="24"/>
                <w:szCs w:val="20"/>
                <w:lang w:eastAsia="pt-BR"/>
              </w:rPr>
              <w:t>Ponta Grossa</w:t>
            </w:r>
            <w:r/>
          </w:p>
        </w:tc>
        <w:tc>
          <w:tcPr>
            <w:tcW w:w="1919" w:type="dxa"/>
            <w:tcBorders/>
            <w:shd w:color="auto" w:fill="FFFFFF" w:val="clear"/>
            <w:tcMar>
              <w:left w:w="-10" w:type="dxa"/>
            </w:tcMar>
          </w:tcPr>
          <w:p>
            <w:pPr>
              <w:pStyle w:val="Normal"/>
              <w:spacing w:lineRule="auto" w:line="240" w:before="0" w:after="0"/>
              <w:jc w:val="both"/>
            </w:pPr>
            <w:r>
              <w:rPr>
                <w:rFonts w:ascii="Times New Roman" w:hAnsi="Times New Roman"/>
                <w:sz w:val="24"/>
                <w:szCs w:val="20"/>
              </w:rPr>
              <w:t>Não há registro dos dados de reincidência.</w:t>
            </w:r>
            <w:r/>
          </w:p>
        </w:tc>
        <w:tc>
          <w:tcPr>
            <w:tcW w:w="3554" w:type="dxa"/>
            <w:tcBorders/>
            <w:shd w:color="auto" w:fill="FFFFFF" w:val="clear"/>
            <w:tcMar>
              <w:left w:w="-10" w:type="dxa"/>
            </w:tcMar>
          </w:tcPr>
          <w:p>
            <w:pPr>
              <w:pStyle w:val="Normal"/>
              <w:spacing w:lineRule="auto" w:line="240" w:before="0" w:after="0"/>
              <w:jc w:val="both"/>
              <w:rPr>
                <w:sz w:val="20"/>
                <w:sz w:val="20"/>
                <w:szCs w:val="20"/>
                <w:rFonts w:cs="Times New Roman"/>
              </w:rPr>
            </w:pPr>
            <w:r>
              <w:rPr>
                <w:rFonts w:cs="Times New Roman" w:ascii="Times New Roman" w:hAnsi="Times New Roman"/>
                <w:sz w:val="24"/>
                <w:szCs w:val="20"/>
              </w:rPr>
              <w:t>Instituto Melhor Viver</w:t>
            </w:r>
            <w:r/>
          </w:p>
        </w:tc>
        <w:tc>
          <w:tcPr>
            <w:tcW w:w="6138" w:type="dxa"/>
            <w:tcBorders/>
            <w:shd w:color="auto" w:fill="FFFFFF" w:val="clear"/>
            <w:tcMar>
              <w:left w:w="-10" w:type="dxa"/>
            </w:tcMar>
          </w:tcPr>
          <w:p>
            <w:pPr>
              <w:pStyle w:val="Normal"/>
              <w:spacing w:lineRule="auto" w:line="240" w:before="0" w:after="0"/>
              <w:jc w:val="both"/>
            </w:pPr>
            <w:r>
              <w:rPr>
                <w:rFonts w:cs="Times New Roman" w:ascii="Times New Roman" w:hAnsi="Times New Roman"/>
                <w:sz w:val="24"/>
                <w:szCs w:val="20"/>
              </w:rPr>
              <w:t>Grupos de reflexão que visam acolher o assistido, trabalhar conceitos como gênero, violência doméstica, o delito em si, a fim de internalizar uma nova conduta. O Judiciário não faz o encaminhamento dos homens agressores ao Patronato, são encaminhados direto para o Instituto Melhor Viver.</w:t>
            </w:r>
            <w:r/>
          </w:p>
        </w:tc>
      </w:tr>
      <w:tr>
        <w:trPr>
          <w:trHeight w:val="693" w:hRule="atLeast"/>
        </w:trPr>
        <w:tc>
          <w:tcPr>
            <w:tcW w:w="2115" w:type="dxa"/>
            <w:tcBorders/>
            <w:shd w:color="auto" w:fill="CCCCCC" w:val="clear"/>
            <w:tcMar>
              <w:left w:w="-10" w:type="dxa"/>
            </w:tcMar>
          </w:tcPr>
          <w:p>
            <w:pPr>
              <w:pStyle w:val="Normal"/>
              <w:spacing w:lineRule="auto" w:line="240" w:before="0" w:after="0"/>
              <w:rPr>
                <w:sz w:val="20"/>
                <w:sz w:val="20"/>
                <w:szCs w:val="20"/>
                <w:rFonts w:cs="Times New Roman"/>
              </w:rPr>
            </w:pPr>
            <w:r>
              <w:rPr>
                <w:rFonts w:eastAsia="" w:cs="Times New Roman" w:ascii="Times New Roman" w:hAnsi="Times New Roman" w:eastAsiaTheme="majorEastAsia"/>
                <w:b/>
                <w:bCs/>
                <w:sz w:val="24"/>
                <w:szCs w:val="20"/>
              </w:rPr>
              <w:t>BASTA</w:t>
            </w:r>
            <w:r/>
          </w:p>
        </w:tc>
        <w:tc>
          <w:tcPr>
            <w:tcW w:w="1469" w:type="dxa"/>
            <w:tcBorders/>
            <w:shd w:color="auto" w:fill="CCCCCC" w:val="clear"/>
            <w:tcMar>
              <w:left w:w="-10" w:type="dxa"/>
            </w:tcMar>
          </w:tcPr>
          <w:p>
            <w:pPr>
              <w:pStyle w:val="Normal"/>
              <w:spacing w:lineRule="auto" w:line="240" w:before="0" w:after="0"/>
              <w:jc w:val="both"/>
              <w:rPr>
                <w:sz w:val="20"/>
                <w:sz w:val="20"/>
                <w:szCs w:val="20"/>
                <w:rFonts w:eastAsia="Times New Roman" w:cs="Times New Roman"/>
                <w:lang w:eastAsia="pt-BR"/>
              </w:rPr>
            </w:pPr>
            <w:r>
              <w:rPr>
                <w:rFonts w:eastAsia="Times New Roman" w:cs="Times New Roman" w:ascii="Times New Roman" w:hAnsi="Times New Roman"/>
                <w:sz w:val="24"/>
                <w:szCs w:val="20"/>
                <w:lang w:eastAsia="pt-BR"/>
              </w:rPr>
              <w:t>Pontal do Paraná</w:t>
            </w:r>
            <w:r/>
          </w:p>
        </w:tc>
        <w:tc>
          <w:tcPr>
            <w:tcW w:w="1919" w:type="dxa"/>
            <w:tcBorders/>
            <w:shd w:color="auto" w:fill="CCCCCC" w:val="clear"/>
            <w:tcMar>
              <w:left w:w="-10" w:type="dxa"/>
            </w:tcMar>
          </w:tcPr>
          <w:p>
            <w:pPr>
              <w:pStyle w:val="Normal"/>
              <w:spacing w:lineRule="auto" w:line="240" w:before="0" w:after="0"/>
              <w:jc w:val="both"/>
              <w:rPr>
                <w:sz w:val="20"/>
                <w:sz w:val="20"/>
                <w:szCs w:val="20"/>
              </w:rPr>
            </w:pPr>
            <w:r>
              <w:rPr>
                <w:rFonts w:ascii="Times New Roman" w:hAnsi="Times New Roman"/>
                <w:sz w:val="24"/>
                <w:szCs w:val="20"/>
              </w:rPr>
              <w:t>Não há registro dos dados de reincidência.</w:t>
            </w:r>
            <w:r/>
          </w:p>
        </w:tc>
        <w:tc>
          <w:tcPr>
            <w:tcW w:w="3554" w:type="dxa"/>
            <w:tcBorders/>
            <w:shd w:color="auto" w:fill="CCCCCC" w:val="clear"/>
            <w:tcMar>
              <w:left w:w="-10" w:type="dxa"/>
            </w:tcMar>
          </w:tcPr>
          <w:p>
            <w:pPr>
              <w:pStyle w:val="Normal"/>
              <w:spacing w:lineRule="auto" w:line="240" w:before="0" w:after="0"/>
              <w:jc w:val="both"/>
              <w:rPr>
                <w:sz w:val="20"/>
                <w:sz w:val="20"/>
                <w:szCs w:val="20"/>
                <w:rFonts w:cs="Times New Roman"/>
              </w:rPr>
            </w:pPr>
            <w:r>
              <w:rPr>
                <w:rFonts w:cs="Times New Roman" w:ascii="Times New Roman" w:hAnsi="Times New Roman"/>
                <w:sz w:val="24"/>
                <w:szCs w:val="20"/>
              </w:rPr>
              <w:t>Patronato Municipal</w:t>
            </w:r>
            <w:r/>
          </w:p>
        </w:tc>
        <w:tc>
          <w:tcPr>
            <w:tcW w:w="6138" w:type="dxa"/>
            <w:tcBorders/>
            <w:shd w:color="auto" w:fill="CCCCCC" w:val="clear"/>
            <w:tcMar>
              <w:left w:w="-10" w:type="dxa"/>
            </w:tcMar>
          </w:tcPr>
          <w:p>
            <w:pPr>
              <w:pStyle w:val="Normal"/>
              <w:spacing w:lineRule="auto" w:line="240" w:before="0" w:after="0"/>
              <w:jc w:val="both"/>
              <w:rPr>
                <w:sz w:val="20"/>
                <w:sz w:val="20"/>
                <w:szCs w:val="20"/>
                <w:rFonts w:cs="Times New Roman"/>
              </w:rPr>
            </w:pPr>
            <w:r>
              <w:rPr>
                <w:rFonts w:cs="Times New Roman" w:ascii="Times New Roman" w:hAnsi="Times New Roman"/>
                <w:sz w:val="24"/>
                <w:szCs w:val="20"/>
              </w:rPr>
              <w:t>Grupos de reflexão que visam acolher o assistido, trabalhar conceitos como gênero, violência doméstica, o delito em si, a fim de internalizar uma nova conduta. Em função da demanda apenas um assistido foi atendido.</w:t>
            </w:r>
            <w:r/>
          </w:p>
        </w:tc>
      </w:tr>
      <w:tr>
        <w:trPr>
          <w:trHeight w:val="693" w:hRule="atLeast"/>
        </w:trPr>
        <w:tc>
          <w:tcPr>
            <w:tcW w:w="2115" w:type="dxa"/>
            <w:tcBorders/>
            <w:shd w:color="auto" w:fill="FFFFFF" w:val="clear"/>
            <w:tcMar>
              <w:left w:w="-10" w:type="dxa"/>
            </w:tcMar>
          </w:tcPr>
          <w:p>
            <w:pPr>
              <w:pStyle w:val="Normal"/>
              <w:spacing w:lineRule="auto" w:line="240" w:before="0" w:after="0"/>
              <w:rPr>
                <w:b/>
                <w:b/>
                <w:bCs/>
              </w:rPr>
            </w:pPr>
            <w:r>
              <w:rPr>
                <w:rFonts w:eastAsia="" w:cs="Times New Roman" w:ascii="Times New Roman" w:hAnsi="Times New Roman" w:eastAsiaTheme="majorEastAsia"/>
                <w:b/>
                <w:bCs/>
                <w:sz w:val="24"/>
                <w:szCs w:val="20"/>
              </w:rPr>
              <w:t>BASTA</w:t>
            </w:r>
            <w:r/>
          </w:p>
        </w:tc>
        <w:tc>
          <w:tcPr>
            <w:tcW w:w="1469" w:type="dxa"/>
            <w:tcBorders/>
            <w:shd w:color="auto" w:fill="FFFFFF" w:val="clear"/>
            <w:tcMar>
              <w:left w:w="-10" w:type="dxa"/>
            </w:tcMar>
          </w:tcPr>
          <w:p>
            <w:pPr>
              <w:pStyle w:val="Normal"/>
              <w:spacing w:lineRule="auto" w:line="240" w:before="0" w:after="0"/>
              <w:jc w:val="both"/>
            </w:pPr>
            <w:r>
              <w:rPr>
                <w:rFonts w:eastAsia="Times New Roman" w:cs="Times New Roman" w:ascii="Times New Roman" w:hAnsi="Times New Roman"/>
                <w:sz w:val="24"/>
                <w:szCs w:val="20"/>
                <w:lang w:eastAsia="pt-BR"/>
              </w:rPr>
              <w:t>Toledo</w:t>
            </w:r>
            <w:r/>
          </w:p>
        </w:tc>
        <w:tc>
          <w:tcPr>
            <w:tcW w:w="1919" w:type="dxa"/>
            <w:tcBorders/>
            <w:shd w:color="auto" w:fill="FFFFFF" w:val="clear"/>
            <w:tcMar>
              <w:left w:w="-10" w:type="dxa"/>
            </w:tcMar>
          </w:tcPr>
          <w:p>
            <w:pPr>
              <w:pStyle w:val="Normal"/>
              <w:spacing w:lineRule="auto" w:line="240" w:before="0" w:after="0"/>
              <w:jc w:val="both"/>
            </w:pPr>
            <w:r>
              <w:rPr>
                <w:rFonts w:ascii="Times New Roman" w:hAnsi="Times New Roman"/>
                <w:sz w:val="24"/>
                <w:szCs w:val="20"/>
              </w:rPr>
              <w:t>Não há registro dos dados de reincidência.</w:t>
            </w:r>
            <w:r/>
          </w:p>
        </w:tc>
        <w:tc>
          <w:tcPr>
            <w:tcW w:w="3554" w:type="dxa"/>
            <w:tcBorders/>
            <w:shd w:color="auto" w:fill="FFFFFF" w:val="clear"/>
            <w:tcMar>
              <w:left w:w="-10" w:type="dxa"/>
            </w:tcMar>
          </w:tcPr>
          <w:p>
            <w:pPr>
              <w:pStyle w:val="Normal"/>
              <w:spacing w:lineRule="auto" w:line="240" w:before="0" w:after="0"/>
              <w:jc w:val="both"/>
            </w:pPr>
            <w:r>
              <w:rPr>
                <w:rFonts w:cs="Times New Roman" w:ascii="Times New Roman" w:hAnsi="Times New Roman"/>
                <w:sz w:val="24"/>
                <w:szCs w:val="20"/>
              </w:rPr>
              <w:t>Secretaria Municipal de Política das Mulheres em parceria com o Patronato</w:t>
            </w:r>
            <w:r/>
          </w:p>
        </w:tc>
        <w:tc>
          <w:tcPr>
            <w:tcW w:w="6138" w:type="dxa"/>
            <w:tcBorders/>
            <w:shd w:color="auto" w:fill="FFFFFF" w:val="clear"/>
            <w:tcMar>
              <w:left w:w="-10" w:type="dxa"/>
            </w:tcMar>
          </w:tcPr>
          <w:p>
            <w:pPr>
              <w:pStyle w:val="Normal"/>
              <w:spacing w:lineRule="auto" w:line="240" w:before="0" w:after="0"/>
              <w:jc w:val="both"/>
            </w:pPr>
            <w:r>
              <w:rPr>
                <w:rFonts w:cs="Times New Roman" w:ascii="Times New Roman" w:hAnsi="Times New Roman"/>
                <w:sz w:val="24"/>
                <w:szCs w:val="20"/>
              </w:rPr>
              <w:t>Grupos de reflexão que visam acolher o assistido, trabalhar conceitos como gênero, violência doméstica, o delito em si, a fim de internalizar uma nova conduta. O Patronato faz o atendimento do agressor e encaminha para a Secretaria Municipal de Política das Mulheres.</w:t>
            </w:r>
            <w:r/>
          </w:p>
        </w:tc>
      </w:tr>
      <w:tr>
        <w:trPr>
          <w:trHeight w:val="1379" w:hRule="atLeast"/>
        </w:trPr>
        <w:tc>
          <w:tcPr>
            <w:tcW w:w="2115" w:type="dxa"/>
            <w:tcBorders>
              <w:top w:val="single" w:sz="18" w:space="0" w:color="000001"/>
            </w:tcBorders>
            <w:shd w:color="auto" w:fill="CCCCCC" w:val="clear"/>
            <w:tcMar>
              <w:left w:w="-10" w:type="dxa"/>
            </w:tcMar>
          </w:tcPr>
          <w:p>
            <w:pPr>
              <w:pStyle w:val="Normal"/>
              <w:spacing w:lineRule="auto" w:line="240" w:before="0" w:after="0"/>
              <w:rPr>
                <w:rFonts w:ascii="Cambria" w:hAnsi="Cambria" w:eastAsia="" w:asciiTheme="majorHAnsi" w:eastAsiaTheme="majorEastAsia" w:hAnsiTheme="majorHAnsi"/>
              </w:rPr>
            </w:pPr>
            <w:r>
              <w:rPr>
                <w:rFonts w:eastAsia="" w:cs="" w:ascii="Times New Roman" w:hAnsi="Times New Roman" w:eastAsiaTheme="majorEastAsia"/>
                <w:b/>
                <w:bCs/>
                <w:sz w:val="24"/>
              </w:rPr>
              <w:t>BASTA</w:t>
            </w:r>
            <w:r/>
          </w:p>
          <w:p>
            <w:pPr>
              <w:pStyle w:val="Normal"/>
              <w:spacing w:lineRule="auto" w:line="240" w:before="0" w:after="0"/>
              <w:rPr>
                <w:sz w:val="22"/>
                <w:b/>
                <w:sz w:val="22"/>
                <w:b/>
                <w:szCs w:val="22"/>
                <w:bCs/>
                <w:rFonts w:ascii="Times New Roman" w:hAnsi="Times New Roman" w:eastAsia="" w:cs="" w:eastAsiaTheme="majorEastAsia"/>
                <w:color w:val="00000A"/>
                <w:lang w:val="pt-BR" w:eastAsia="en-US" w:bidi="ar-SA"/>
              </w:rPr>
            </w:pPr>
            <w:r>
              <w:rPr>
                <w:rFonts w:eastAsia="" w:cs="" w:eastAsiaTheme="majorEastAsia" w:ascii="Times New Roman" w:hAnsi="Times New Roman"/>
                <w:b/>
                <w:bCs/>
              </w:rPr>
            </w:r>
            <w:r/>
          </w:p>
        </w:tc>
        <w:tc>
          <w:tcPr>
            <w:tcW w:w="1469" w:type="dxa"/>
            <w:tcBorders>
              <w:top w:val="single" w:sz="18" w:space="0" w:color="000001"/>
            </w:tcBorders>
            <w:shd w:color="auto" w:fill="CCCCCC" w:val="clear"/>
            <w:tcMar>
              <w:left w:w="-10" w:type="dxa"/>
            </w:tcMar>
          </w:tcPr>
          <w:p>
            <w:pPr>
              <w:pStyle w:val="Normal"/>
              <w:spacing w:lineRule="auto" w:line="240" w:before="0" w:after="0"/>
              <w:jc w:val="both"/>
            </w:pPr>
            <w:r>
              <w:rPr>
                <w:rFonts w:ascii="Times New Roman" w:hAnsi="Times New Roman"/>
                <w:sz w:val="24"/>
              </w:rPr>
              <w:t>Campo Mourão</w:t>
            </w:r>
            <w:r/>
          </w:p>
          <w:p>
            <w:pPr>
              <w:pStyle w:val="Normal"/>
              <w:spacing w:lineRule="auto" w:line="240" w:before="0" w:after="0"/>
              <w:jc w:val="both"/>
              <w:rPr>
                <w:sz w:val="22"/>
                <w:sz w:val="22"/>
                <w:szCs w:val="22"/>
                <w:rFonts w:ascii="Times New Roman" w:hAnsi="Times New Roman" w:eastAsia="Calibri" w:cs=""/>
                <w:color w:val="00000A"/>
                <w:lang w:val="pt-BR" w:eastAsia="en-US" w:bidi="ar-SA"/>
              </w:rPr>
            </w:pPr>
            <w:r>
              <w:rPr>
                <w:rFonts w:ascii="Times New Roman" w:hAnsi="Times New Roman"/>
              </w:rPr>
            </w:r>
            <w:r/>
          </w:p>
        </w:tc>
        <w:tc>
          <w:tcPr>
            <w:tcW w:w="1919" w:type="dxa"/>
            <w:tcBorders>
              <w:top w:val="single" w:sz="18" w:space="0" w:color="000001"/>
            </w:tcBorders>
            <w:shd w:color="auto" w:fill="CCCCCC" w:val="clear"/>
            <w:tcMar>
              <w:left w:w="-10" w:type="dxa"/>
            </w:tcMar>
          </w:tcPr>
          <w:p>
            <w:pPr>
              <w:pStyle w:val="Normal"/>
              <w:spacing w:lineRule="auto" w:line="240" w:before="0" w:after="0"/>
              <w:jc w:val="both"/>
            </w:pPr>
            <w:r>
              <w:rPr>
                <w:rFonts w:ascii="Times New Roman" w:hAnsi="Times New Roman"/>
                <w:color w:val="000000"/>
                <w:sz w:val="24"/>
                <w:szCs w:val="20"/>
              </w:rPr>
              <w:t>Não há registro dos dados de reincidência.</w:t>
            </w:r>
            <w:r/>
          </w:p>
        </w:tc>
        <w:tc>
          <w:tcPr>
            <w:tcW w:w="3554" w:type="dxa"/>
            <w:tcBorders>
              <w:top w:val="single" w:sz="18" w:space="0" w:color="000001"/>
            </w:tcBorders>
            <w:shd w:color="auto" w:fill="CCCCCC" w:val="clear"/>
            <w:tcMar>
              <w:left w:w="-10" w:type="dxa"/>
            </w:tcMar>
          </w:tcPr>
          <w:p>
            <w:pPr>
              <w:pStyle w:val="Normal"/>
              <w:spacing w:lineRule="auto" w:line="240" w:before="0" w:after="0"/>
              <w:jc w:val="both"/>
            </w:pPr>
            <w:r>
              <w:rPr>
                <w:rFonts w:ascii="Times New Roman" w:hAnsi="Times New Roman"/>
                <w:sz w:val="24"/>
              </w:rPr>
              <w:t>Patronato Municipal</w:t>
            </w:r>
            <w:r/>
          </w:p>
        </w:tc>
        <w:tc>
          <w:tcPr>
            <w:tcW w:w="6138" w:type="dxa"/>
            <w:tcBorders>
              <w:top w:val="single" w:sz="18" w:space="0" w:color="000001"/>
            </w:tcBorders>
            <w:shd w:color="auto" w:fill="CCCCCC" w:val="clear"/>
            <w:tcMar>
              <w:left w:w="-10" w:type="dxa"/>
            </w:tcMar>
          </w:tcPr>
          <w:p>
            <w:pPr>
              <w:pStyle w:val="Normal"/>
              <w:spacing w:lineRule="auto" w:line="240" w:before="0" w:after="0"/>
              <w:jc w:val="both"/>
            </w:pPr>
            <w:r>
              <w:rPr>
                <w:rFonts w:ascii="Times New Roman" w:hAnsi="Times New Roman"/>
                <w:sz w:val="24"/>
              </w:rPr>
              <w:t xml:space="preserve">No período entre 2014 e 2016, foram atendidos 13 homens, sendo que 8 desses relataram ter agredido fisicamente sua esposa, namorada ou companheira. Dois assistidos informaram que a agressão ocorreu contra mulheres com quem não tinham nenhum vínculo. Incluem ainda, uma agressão contra a filha, uma ameaça contra a esposa, e ainda um cárcere privado contra a esposa. </w:t>
            </w:r>
            <w:r/>
          </w:p>
        </w:tc>
      </w:tr>
      <w:tr>
        <w:trPr>
          <w:trHeight w:val="1379" w:hRule="atLeast"/>
        </w:trPr>
        <w:tc>
          <w:tcPr>
            <w:tcW w:w="2115" w:type="dxa"/>
            <w:tcBorders>
              <w:top w:val="single" w:sz="18" w:space="0" w:color="000001"/>
            </w:tcBorders>
            <w:shd w:color="auto" w:fill="FFFFFF" w:val="clear"/>
            <w:tcMar>
              <w:left w:w="-10" w:type="dxa"/>
            </w:tcMar>
          </w:tcPr>
          <w:p>
            <w:pPr>
              <w:pStyle w:val="Normal"/>
              <w:spacing w:lineRule="auto" w:line="240" w:before="0" w:after="0"/>
              <w:rPr>
                <w:rFonts w:ascii="Cambria" w:hAnsi="Cambria"/>
              </w:rPr>
            </w:pPr>
            <w:r>
              <w:rPr>
                <w:rFonts w:eastAsia="" w:cs="" w:ascii="Times New Roman" w:hAnsi="Times New Roman" w:eastAsiaTheme="majorEastAsia"/>
                <w:b/>
                <w:bCs/>
                <w:sz w:val="24"/>
              </w:rPr>
              <w:t>BASTA</w:t>
            </w:r>
            <w:r/>
          </w:p>
        </w:tc>
        <w:tc>
          <w:tcPr>
            <w:tcW w:w="1469" w:type="dxa"/>
            <w:tcBorders>
              <w:top w:val="single" w:sz="18" w:space="0" w:color="000001"/>
            </w:tcBorders>
            <w:shd w:color="auto" w:fill="FFFFFF" w:val="clear"/>
            <w:tcMar>
              <w:left w:w="-10" w:type="dxa"/>
            </w:tcMar>
          </w:tcPr>
          <w:p>
            <w:pPr>
              <w:pStyle w:val="Normal"/>
              <w:spacing w:lineRule="auto" w:line="240" w:before="0" w:after="0"/>
              <w:jc w:val="both"/>
            </w:pPr>
            <w:r>
              <w:rPr>
                <w:rFonts w:ascii="Times New Roman" w:hAnsi="Times New Roman"/>
                <w:sz w:val="24"/>
              </w:rPr>
              <w:t>Curitiba</w:t>
            </w:r>
            <w:r/>
          </w:p>
        </w:tc>
        <w:tc>
          <w:tcPr>
            <w:tcW w:w="1919" w:type="dxa"/>
            <w:tcBorders>
              <w:top w:val="single" w:sz="18" w:space="0" w:color="000001"/>
            </w:tcBorders>
            <w:shd w:color="auto" w:fill="FFFFFF" w:val="clear"/>
            <w:tcMar>
              <w:left w:w="-10" w:type="dxa"/>
            </w:tcMar>
          </w:tcPr>
          <w:p>
            <w:pPr>
              <w:pStyle w:val="Normal"/>
              <w:spacing w:lineRule="auto" w:line="240" w:before="0" w:after="0"/>
              <w:jc w:val="both"/>
            </w:pPr>
            <w:r>
              <w:rPr>
                <w:rFonts w:ascii="Times New Roman" w:hAnsi="Times New Roman"/>
                <w:color w:val="000000"/>
                <w:sz w:val="24"/>
                <w:szCs w:val="20"/>
              </w:rPr>
              <w:t>Não há registro dos dados de reincidência.</w:t>
            </w:r>
            <w:r/>
          </w:p>
        </w:tc>
        <w:tc>
          <w:tcPr>
            <w:tcW w:w="3554" w:type="dxa"/>
            <w:tcBorders>
              <w:top w:val="single" w:sz="18" w:space="0" w:color="000001"/>
            </w:tcBorders>
            <w:shd w:color="auto" w:fill="FFFFFF" w:val="clear"/>
            <w:tcMar>
              <w:left w:w="-10" w:type="dxa"/>
            </w:tcMar>
          </w:tcPr>
          <w:p>
            <w:pPr>
              <w:pStyle w:val="Normal"/>
              <w:spacing w:lineRule="auto" w:line="240" w:before="0" w:after="0"/>
              <w:jc w:val="both"/>
            </w:pPr>
            <w:r>
              <w:rPr>
                <w:rFonts w:ascii="Times New Roman" w:hAnsi="Times New Roman"/>
                <w:sz w:val="24"/>
              </w:rPr>
              <w:t>Patronato Central</w:t>
            </w:r>
            <w:r/>
          </w:p>
        </w:tc>
        <w:tc>
          <w:tcPr>
            <w:tcW w:w="6138" w:type="dxa"/>
            <w:tcBorders>
              <w:top w:val="single" w:sz="18" w:space="0" w:color="000001"/>
            </w:tcBorders>
            <w:shd w:color="auto" w:fill="FFFFFF" w:val="clear"/>
            <w:tcMar>
              <w:left w:w="-10" w:type="dxa"/>
            </w:tcMar>
          </w:tcPr>
          <w:p>
            <w:pPr>
              <w:pStyle w:val="Normal"/>
              <w:spacing w:lineRule="auto" w:line="240" w:before="0" w:after="0"/>
              <w:jc w:val="both"/>
            </w:pPr>
            <w:r>
              <w:rPr>
                <w:rFonts w:cs="Times New Roman" w:ascii="Times New Roman" w:hAnsi="Times New Roman"/>
                <w:sz w:val="24"/>
                <w:szCs w:val="20"/>
              </w:rPr>
              <w:t>Grupos de reflexão que visam acolher o assistido, trabalhar conceitos como gênero, violência doméstica, o delito em si, a fim de internalizar uma nova conduta. Em função da demanda apenas um assistido foi atendido. Não há encaminhamento dos homens agressores ao Patronato pelo Judiciário.</w:t>
            </w:r>
            <w:r/>
          </w:p>
        </w:tc>
      </w:tr>
      <w:tr>
        <w:trPr>
          <w:trHeight w:val="1379" w:hRule="atLeast"/>
        </w:trPr>
        <w:tc>
          <w:tcPr>
            <w:tcW w:w="2115" w:type="dxa"/>
            <w:tcBorders>
              <w:top w:val="single" w:sz="18" w:space="0" w:color="000001"/>
            </w:tcBorders>
            <w:shd w:color="auto" w:fill="CCCCCC" w:val="clear"/>
            <w:tcMar>
              <w:left w:w="-10" w:type="dxa"/>
            </w:tcMar>
          </w:tcPr>
          <w:p>
            <w:pPr>
              <w:pStyle w:val="Normal"/>
              <w:spacing w:lineRule="auto" w:line="240" w:before="0" w:after="0"/>
              <w:rPr>
                <w:b/>
                <w:b/>
                <w:bCs/>
                <w:rFonts w:eastAsia="" w:cs="" w:cstheme="majorBidi" w:eastAsiaTheme="majorEastAsia"/>
              </w:rPr>
            </w:pPr>
            <w:r>
              <w:rPr>
                <w:rFonts w:eastAsia="" w:cs="" w:ascii="Times New Roman" w:hAnsi="Times New Roman" w:cstheme="majorBidi" w:eastAsiaTheme="majorEastAsia"/>
                <w:b/>
                <w:bCs/>
                <w:sz w:val="24"/>
                <w:shd w:fill="FFFFFF" w:val="clear"/>
              </w:rPr>
              <w:t>“</w:t>
            </w:r>
            <w:r>
              <w:rPr>
                <w:rFonts w:eastAsia="" w:cs="" w:ascii="Times New Roman" w:hAnsi="Times New Roman" w:cstheme="majorBidi" w:eastAsiaTheme="majorEastAsia"/>
                <w:b/>
                <w:bCs/>
                <w:sz w:val="24"/>
                <w:shd w:fill="FFFFFF" w:val="clear"/>
              </w:rPr>
              <w:t>Refletir para Conviver”</w:t>
            </w:r>
            <w:r/>
          </w:p>
          <w:p>
            <w:pPr>
              <w:pStyle w:val="Normal"/>
              <w:spacing w:lineRule="auto" w:line="240" w:before="0" w:after="0"/>
              <w:rPr>
                <w:sz w:val="22"/>
                <w:b/>
                <w:shd w:fill="FFFFFF" w:val="clear"/>
                <w:sz w:val="22"/>
                <w:b/>
                <w:szCs w:val="22"/>
                <w:bCs/>
                <w:rFonts w:ascii="Times New Roman" w:hAnsi="Times New Roman" w:eastAsia="" w:cs="" w:cstheme="majorBidi" w:eastAsiaTheme="majorEastAsia"/>
                <w:color w:val="00000A"/>
                <w:lang w:val="pt-BR" w:eastAsia="en-US" w:bidi="ar-SA"/>
              </w:rPr>
            </w:pPr>
            <w:r>
              <w:rPr>
                <w:rFonts w:eastAsia="" w:cs="" w:cstheme="majorBidi" w:eastAsiaTheme="majorEastAsia" w:ascii="Times New Roman" w:hAnsi="Times New Roman"/>
                <w:b/>
                <w:bCs/>
                <w:shd w:fill="FFFFFF" w:val="clear"/>
              </w:rPr>
            </w:r>
            <w:r/>
          </w:p>
        </w:tc>
        <w:tc>
          <w:tcPr>
            <w:tcW w:w="1469" w:type="dxa"/>
            <w:tcBorders>
              <w:top w:val="single" w:sz="18" w:space="0" w:color="000001"/>
            </w:tcBorders>
            <w:shd w:color="auto" w:fill="CCCCCC" w:val="clear"/>
            <w:tcMar>
              <w:left w:w="-10" w:type="dxa"/>
            </w:tcMar>
          </w:tcPr>
          <w:p>
            <w:pPr>
              <w:pStyle w:val="Normal"/>
              <w:spacing w:lineRule="auto" w:line="240" w:before="0" w:after="0"/>
              <w:jc w:val="both"/>
              <w:rPr>
                <w:shd w:fill="FFFFFF" w:val="clear"/>
              </w:rPr>
            </w:pPr>
            <w:r>
              <w:rPr>
                <w:rFonts w:ascii="Times New Roman" w:hAnsi="Times New Roman"/>
                <w:color w:val="000000"/>
                <w:sz w:val="24"/>
                <w:shd w:fill="FFFFFF" w:val="clear"/>
              </w:rPr>
              <w:t xml:space="preserve">Curiúva, Sapopema e Figueira </w:t>
            </w:r>
            <w:r/>
          </w:p>
          <w:p>
            <w:pPr>
              <w:pStyle w:val="Normal"/>
              <w:spacing w:lineRule="auto" w:line="240" w:before="0" w:after="0"/>
              <w:jc w:val="both"/>
              <w:rPr>
                <w:sz w:val="22"/>
                <w:shd w:fill="FFFFFF" w:val="clear"/>
                <w:sz w:val="22"/>
                <w:szCs w:val="22"/>
                <w:rFonts w:ascii="Times New Roman" w:hAnsi="Times New Roman" w:eastAsia="Calibri" w:cs=""/>
                <w:color w:val="00000A"/>
                <w:lang w:val="pt-BR" w:eastAsia="en-US" w:bidi="ar-SA"/>
              </w:rPr>
            </w:pPr>
            <w:r>
              <w:rPr>
                <w:rFonts w:ascii="Times New Roman" w:hAnsi="Times New Roman"/>
                <w:shd w:fill="FFFFFF" w:val="clear"/>
              </w:rPr>
            </w:r>
            <w:r/>
          </w:p>
        </w:tc>
        <w:tc>
          <w:tcPr>
            <w:tcW w:w="1919" w:type="dxa"/>
            <w:tcBorders>
              <w:top w:val="single" w:sz="18" w:space="0" w:color="000001"/>
            </w:tcBorders>
            <w:shd w:color="auto" w:fill="CCCCCC" w:val="clear"/>
            <w:tcMar>
              <w:left w:w="-10" w:type="dxa"/>
            </w:tcMar>
          </w:tcPr>
          <w:p>
            <w:pPr>
              <w:pStyle w:val="Normal"/>
              <w:spacing w:lineRule="auto" w:line="240" w:before="0" w:after="0"/>
              <w:jc w:val="both"/>
            </w:pPr>
            <w:r>
              <w:rPr>
                <w:rFonts w:ascii="Times New Roman" w:hAnsi="Times New Roman"/>
                <w:sz w:val="24"/>
              </w:rPr>
              <w:t>Não há registro dos dados de reincidência.</w:t>
            </w:r>
            <w:r/>
          </w:p>
          <w:p>
            <w:pPr>
              <w:pStyle w:val="Normal"/>
              <w:spacing w:lineRule="auto" w:line="240" w:before="0" w:after="0"/>
              <w:jc w:val="both"/>
              <w:rPr>
                <w:sz w:val="22"/>
                <w:sz w:val="22"/>
                <w:szCs w:val="22"/>
                <w:rFonts w:ascii="Times New Roman" w:hAnsi="Times New Roman" w:eastAsia="Calibri" w:cs=""/>
                <w:color w:val="00000A"/>
                <w:lang w:val="pt-BR" w:eastAsia="en-US" w:bidi="ar-SA"/>
              </w:rPr>
            </w:pPr>
            <w:r>
              <w:rPr>
                <w:rFonts w:ascii="Times New Roman" w:hAnsi="Times New Roman"/>
              </w:rPr>
            </w:r>
            <w:r/>
          </w:p>
        </w:tc>
        <w:tc>
          <w:tcPr>
            <w:tcW w:w="3554" w:type="dxa"/>
            <w:tcBorders>
              <w:top w:val="single" w:sz="18" w:space="0" w:color="000001"/>
            </w:tcBorders>
            <w:shd w:color="auto" w:fill="CCCCCC" w:val="clear"/>
            <w:tcMar>
              <w:left w:w="-10" w:type="dxa"/>
            </w:tcMar>
          </w:tcPr>
          <w:p>
            <w:pPr>
              <w:pStyle w:val="Normal"/>
              <w:spacing w:lineRule="auto" w:line="240" w:before="0" w:after="0"/>
              <w:jc w:val="both"/>
            </w:pPr>
            <w:r>
              <w:rPr>
                <w:rFonts w:ascii="Times New Roman" w:hAnsi="Times New Roman"/>
                <w:sz w:val="24"/>
              </w:rPr>
              <w:t>Prefeituras de Sapopema, Figueira e Curiúva</w:t>
            </w:r>
            <w:r/>
          </w:p>
          <w:p>
            <w:pPr>
              <w:pStyle w:val="Normal"/>
              <w:spacing w:lineRule="auto" w:line="240"/>
              <w:jc w:val="both"/>
            </w:pPr>
            <w:r>
              <w:rPr>
                <w:rFonts w:ascii="Times New Roman" w:hAnsi="Times New Roman"/>
                <w:sz w:val="24"/>
              </w:rPr>
              <w:t>CREAS – Centro de Referência Especializado de Assistência Social</w:t>
            </w:r>
            <w:r/>
          </w:p>
          <w:p>
            <w:pPr>
              <w:pStyle w:val="Normal"/>
              <w:spacing w:lineRule="auto" w:line="240" w:before="0" w:after="200"/>
              <w:jc w:val="both"/>
            </w:pPr>
            <w:r>
              <w:rPr>
                <w:rFonts w:ascii="Times New Roman" w:hAnsi="Times New Roman"/>
                <w:sz w:val="24"/>
              </w:rPr>
              <w:t>Secretarias de Assistência Social</w:t>
            </w:r>
            <w:r/>
          </w:p>
        </w:tc>
        <w:tc>
          <w:tcPr>
            <w:tcW w:w="6138" w:type="dxa"/>
            <w:tcBorders>
              <w:top w:val="single" w:sz="18" w:space="0" w:color="000001"/>
            </w:tcBorders>
            <w:shd w:color="auto" w:fill="CCCCCC" w:val="clear"/>
            <w:tcMar>
              <w:left w:w="-10" w:type="dxa"/>
            </w:tcMar>
          </w:tcPr>
          <w:p>
            <w:pPr>
              <w:pStyle w:val="Normal"/>
              <w:spacing w:lineRule="auto" w:line="240" w:before="0" w:after="0"/>
              <w:jc w:val="both"/>
            </w:pPr>
            <w:r>
              <w:rPr>
                <w:rFonts w:ascii="Times New Roman" w:hAnsi="Times New Roman"/>
                <w:color w:val="000000"/>
                <w:sz w:val="24"/>
              </w:rPr>
              <w:t>Os participantes são encaminhados pelo Poder Judiciário do Fórum da Comarca de Curiúva para participar dos grupos. Os encontros ocorrerão semanalmente, com duração de uma hora cada, durante o período de nove semanas, com mediação de psicólogos do CREAS e facilitadores diferentes a cada encontro.</w:t>
            </w:r>
            <w:r/>
          </w:p>
          <w:p>
            <w:pPr>
              <w:pStyle w:val="Normal"/>
              <w:spacing w:lineRule="auto" w:line="240" w:before="0" w:after="0"/>
              <w:jc w:val="both"/>
              <w:rPr>
                <w:sz w:val="22"/>
                <w:sz w:val="22"/>
                <w:szCs w:val="22"/>
                <w:rFonts w:ascii="Times New Roman" w:hAnsi="Times New Roman" w:eastAsia="Calibri" w:cs=""/>
                <w:color w:val="00000A"/>
                <w:lang w:val="pt-BR" w:eastAsia="en-US" w:bidi="ar-SA"/>
              </w:rPr>
            </w:pPr>
            <w:r>
              <w:rPr>
                <w:rFonts w:ascii="Times New Roman" w:hAnsi="Times New Roman"/>
              </w:rPr>
            </w:r>
            <w:r/>
          </w:p>
        </w:tc>
      </w:tr>
      <w:tr>
        <w:trPr>
          <w:trHeight w:val="1379" w:hRule="atLeast"/>
        </w:trPr>
        <w:tc>
          <w:tcPr>
            <w:tcW w:w="2115" w:type="dxa"/>
            <w:tcBorders>
              <w:top w:val="single" w:sz="18" w:space="0" w:color="000001"/>
            </w:tcBorders>
            <w:shd w:color="auto" w:fill="FFFFFF" w:val="clear"/>
            <w:tcMar>
              <w:left w:w="-10" w:type="dxa"/>
            </w:tcMar>
          </w:tcPr>
          <w:p>
            <w:pPr>
              <w:pStyle w:val="Normal"/>
              <w:spacing w:lineRule="auto" w:line="240" w:before="0" w:after="0"/>
              <w:jc w:val="both"/>
              <w:rPr>
                <w:b/>
                <w:b/>
                <w:bCs/>
                <w:rFonts w:cs=""/>
              </w:rPr>
            </w:pPr>
            <w:r>
              <w:rPr>
                <w:rFonts w:eastAsia="" w:cs="" w:ascii="Times New Roman" w:hAnsi="Times New Roman" w:eastAsiaTheme="majorEastAsia"/>
                <w:b/>
                <w:bCs/>
                <w:color w:val="222222"/>
                <w:sz w:val="24"/>
                <w:szCs w:val="20"/>
                <w:shd w:fill="FFFFFF" w:val="clear"/>
              </w:rPr>
              <w:t>Projeto Viva em Paz e Primeiro Passo</w:t>
            </w:r>
            <w:r>
              <w:rPr>
                <w:rFonts w:eastAsia="" w:cs="" w:ascii="Times New Roman" w:hAnsi="Times New Roman" w:eastAsiaTheme="majorEastAsia"/>
                <w:b/>
                <w:bCs/>
                <w:sz w:val="24"/>
                <w:szCs w:val="20"/>
                <w:shd w:fill="FFFFFF" w:val="clear"/>
              </w:rPr>
              <w:t xml:space="preserve"> </w:t>
            </w:r>
            <w:r/>
          </w:p>
        </w:tc>
        <w:tc>
          <w:tcPr>
            <w:tcW w:w="1469" w:type="dxa"/>
            <w:tcBorders>
              <w:top w:val="single" w:sz="18" w:space="0" w:color="000001"/>
            </w:tcBorders>
            <w:shd w:color="auto" w:fill="FFFFFF" w:val="clear"/>
            <w:tcMar>
              <w:left w:w="-10" w:type="dxa"/>
            </w:tcMar>
          </w:tcPr>
          <w:p>
            <w:pPr>
              <w:pStyle w:val="Normal"/>
              <w:spacing w:lineRule="auto" w:line="240" w:before="0" w:after="0"/>
              <w:jc w:val="both"/>
            </w:pPr>
            <w:r>
              <w:rPr>
                <w:rFonts w:ascii="Times New Roman" w:hAnsi="Times New Roman"/>
                <w:sz w:val="24"/>
                <w:szCs w:val="20"/>
              </w:rPr>
              <w:t>União da Vitória</w:t>
            </w:r>
            <w:r/>
          </w:p>
        </w:tc>
        <w:tc>
          <w:tcPr>
            <w:tcW w:w="1919" w:type="dxa"/>
            <w:tcBorders>
              <w:top w:val="single" w:sz="18" w:space="0" w:color="000001"/>
            </w:tcBorders>
            <w:shd w:color="auto" w:fill="FFFFFF" w:val="clear"/>
            <w:tcMar>
              <w:left w:w="-10" w:type="dxa"/>
            </w:tcMar>
          </w:tcPr>
          <w:p>
            <w:pPr>
              <w:pStyle w:val="Normal"/>
              <w:spacing w:lineRule="auto" w:line="240" w:before="0" w:after="0"/>
              <w:jc w:val="both"/>
            </w:pPr>
            <w:r>
              <w:rPr>
                <w:rFonts w:ascii="Times New Roman" w:hAnsi="Times New Roman"/>
                <w:color w:val="000000"/>
                <w:sz w:val="24"/>
                <w:szCs w:val="20"/>
              </w:rPr>
              <w:t>Não há registro dos dados de reincidência.</w:t>
            </w:r>
            <w:r/>
          </w:p>
        </w:tc>
        <w:tc>
          <w:tcPr>
            <w:tcW w:w="3554" w:type="dxa"/>
            <w:tcBorders>
              <w:top w:val="single" w:sz="18" w:space="0" w:color="000001"/>
            </w:tcBorders>
            <w:shd w:color="auto" w:fill="FFFFFF" w:val="clear"/>
            <w:tcMar>
              <w:left w:w="-10" w:type="dxa"/>
            </w:tcMar>
          </w:tcPr>
          <w:p>
            <w:pPr>
              <w:pStyle w:val="Normal"/>
              <w:spacing w:lineRule="auto" w:line="240" w:before="0" w:after="0"/>
              <w:jc w:val="both"/>
            </w:pPr>
            <w:r>
              <w:rPr>
                <w:rFonts w:ascii="Times New Roman" w:hAnsi="Times New Roman"/>
                <w:color w:val="222222"/>
                <w:sz w:val="24"/>
                <w:szCs w:val="20"/>
              </w:rPr>
              <w:t>Parceria do Poder Judiciário, universidades, CEJUSC e Ministério Público de União da Vitória</w:t>
            </w:r>
            <w:r>
              <w:rPr>
                <w:rFonts w:ascii="Times New Roman" w:hAnsi="Times New Roman"/>
                <w:sz w:val="24"/>
                <w:szCs w:val="20"/>
              </w:rPr>
              <w:t xml:space="preserve"> </w:t>
            </w:r>
            <w:r/>
          </w:p>
        </w:tc>
        <w:tc>
          <w:tcPr>
            <w:tcW w:w="6138" w:type="dxa"/>
            <w:tcBorders>
              <w:top w:val="single" w:sz="18" w:space="0" w:color="000001"/>
            </w:tcBorders>
            <w:shd w:color="auto" w:fill="FFFFFF" w:val="clear"/>
            <w:tcMar>
              <w:left w:w="-10" w:type="dxa"/>
            </w:tcMar>
          </w:tcPr>
          <w:p>
            <w:pPr>
              <w:pStyle w:val="Normal"/>
              <w:spacing w:lineRule="auto" w:line="240" w:before="0" w:after="0"/>
              <w:jc w:val="both"/>
            </w:pPr>
            <w:r>
              <w:rPr>
                <w:rFonts w:ascii="Times New Roman" w:hAnsi="Times New Roman"/>
                <w:sz w:val="24"/>
                <w:szCs w:val="20"/>
                <w:shd w:fill="FFFFFF" w:val="clear"/>
              </w:rPr>
              <w:t>V</w:t>
            </w:r>
            <w:r>
              <w:rPr>
                <w:rFonts w:ascii="Times New Roman" w:hAnsi="Times New Roman"/>
                <w:color w:val="222222"/>
                <w:sz w:val="24"/>
                <w:szCs w:val="20"/>
                <w:shd w:fill="FFFFFF" w:val="clear"/>
              </w:rPr>
              <w:t>isam minorar os efeitos decorrentes da violência doméstica contra a mulher, por meio da</w:t>
            </w:r>
            <w:r>
              <w:rPr>
                <w:rFonts w:ascii="Times New Roman" w:hAnsi="Times New Roman"/>
                <w:sz w:val="24"/>
                <w:szCs w:val="20"/>
                <w:shd w:fill="FFFFFF" w:val="clear"/>
              </w:rPr>
              <w:t xml:space="preserve"> </w:t>
            </w:r>
            <w:r>
              <w:rPr>
                <w:rFonts w:ascii="Times New Roman" w:hAnsi="Times New Roman"/>
                <w:color w:val="222222"/>
                <w:sz w:val="24"/>
                <w:szCs w:val="20"/>
                <w:shd w:fill="FFFFFF" w:val="clear"/>
              </w:rPr>
              <w:t>recuperação e reeducação de agressores, bem como de empoderamento de vítimas.</w:t>
            </w:r>
            <w:r/>
          </w:p>
        </w:tc>
      </w:tr>
      <w:tr>
        <w:trPr>
          <w:trHeight w:val="1379" w:hRule="atLeast"/>
        </w:trPr>
        <w:tc>
          <w:tcPr>
            <w:tcW w:w="2115" w:type="dxa"/>
            <w:tcBorders>
              <w:top w:val="single" w:sz="18" w:space="0" w:color="000001"/>
            </w:tcBorders>
            <w:shd w:color="auto" w:fill="CCCCCC" w:val="clear"/>
            <w:tcMar>
              <w:left w:w="-10" w:type="dxa"/>
            </w:tcMar>
          </w:tcPr>
          <w:p>
            <w:pPr>
              <w:pStyle w:val="Corpodetextorecuado"/>
              <w:spacing w:lineRule="auto" w:line="240" w:before="0" w:after="0"/>
              <w:ind w:hanging="0"/>
              <w:rPr>
                <w:b/>
                <w:b/>
                <w:bCs/>
              </w:rPr>
            </w:pPr>
            <w:r>
              <w:rPr>
                <w:rFonts w:eastAsia="" w:cs="Times New Roman" w:ascii="Times New Roman" w:hAnsi="Times New Roman" w:eastAsiaTheme="majorEastAsia"/>
                <w:b/>
                <w:bCs/>
                <w:sz w:val="24"/>
                <w:szCs w:val="26"/>
              </w:rPr>
              <w:t>Serviço de conscientização e responsabilização de Homens Autores de Violência Doméstica Contra Mulheres</w:t>
            </w:r>
            <w:r/>
          </w:p>
        </w:tc>
        <w:tc>
          <w:tcPr>
            <w:tcW w:w="1469" w:type="dxa"/>
            <w:tcBorders>
              <w:top w:val="single" w:sz="18" w:space="0" w:color="000001"/>
            </w:tcBorders>
            <w:shd w:color="auto" w:fill="CCCCCC" w:val="clear"/>
            <w:tcMar>
              <w:left w:w="-10" w:type="dxa"/>
            </w:tcMar>
          </w:tcPr>
          <w:p>
            <w:pPr>
              <w:pStyle w:val="Normal"/>
              <w:spacing w:lineRule="auto" w:line="240" w:before="0" w:after="0"/>
              <w:jc w:val="both"/>
              <w:rPr>
                <w:rFonts w:ascii="Times New Roman" w:hAnsi="Times New Roman"/>
              </w:rPr>
            </w:pPr>
            <w:r>
              <w:rPr>
                <w:rFonts w:ascii="Times New Roman" w:hAnsi="Times New Roman"/>
                <w:sz w:val="24"/>
              </w:rPr>
              <w:t>Altônia</w:t>
            </w:r>
            <w:r/>
          </w:p>
        </w:tc>
        <w:tc>
          <w:tcPr>
            <w:tcW w:w="1919" w:type="dxa"/>
            <w:tcBorders>
              <w:top w:val="single" w:sz="18" w:space="0" w:color="000001"/>
            </w:tcBorders>
            <w:shd w:color="auto" w:fill="CCCCCC" w:val="clear"/>
            <w:tcMar>
              <w:left w:w="-10" w:type="dxa"/>
            </w:tcMar>
          </w:tcPr>
          <w:p>
            <w:pPr>
              <w:pStyle w:val="Normal"/>
              <w:spacing w:lineRule="auto" w:line="240" w:before="0" w:after="0"/>
              <w:jc w:val="both"/>
              <w:rPr>
                <w:shd w:fill="FFFFFF" w:val="clear"/>
              </w:rPr>
            </w:pPr>
            <w:r>
              <w:rPr>
                <w:rFonts w:ascii="Times New Roman" w:hAnsi="Times New Roman"/>
                <w:color w:val="000000"/>
                <w:sz w:val="24"/>
                <w:szCs w:val="20"/>
                <w:shd w:fill="FFFFFF" w:val="clear"/>
              </w:rPr>
              <w:t>Não há registro dos dados de reincidência.</w:t>
            </w:r>
            <w:r/>
          </w:p>
        </w:tc>
        <w:tc>
          <w:tcPr>
            <w:tcW w:w="3554" w:type="dxa"/>
            <w:tcBorders>
              <w:top w:val="single" w:sz="18" w:space="0" w:color="000001"/>
            </w:tcBorders>
            <w:shd w:color="auto" w:fill="CCCCCC" w:val="clear"/>
            <w:tcMar>
              <w:left w:w="-10" w:type="dxa"/>
            </w:tcMar>
          </w:tcPr>
          <w:p>
            <w:pPr>
              <w:pStyle w:val="Normal"/>
              <w:spacing w:lineRule="auto" w:line="240" w:before="0" w:after="0"/>
              <w:jc w:val="both"/>
              <w:rPr>
                <w:shd w:fill="FFFFFF" w:val="clear"/>
              </w:rPr>
            </w:pPr>
            <w:r>
              <w:rPr>
                <w:rFonts w:eastAsia="Times New Roman" w:cs="Times New Roman" w:ascii="Times New Roman" w:hAnsi="Times New Roman"/>
                <w:sz w:val="24"/>
                <w:szCs w:val="20"/>
                <w:shd w:fill="FFFFFF" w:val="clear"/>
                <w:lang w:eastAsia="pt-BR"/>
              </w:rPr>
              <w:t>Poder Judiciário, Ministério Público, Prefeitura Municipal e CREAS.</w:t>
            </w:r>
            <w:r/>
          </w:p>
        </w:tc>
        <w:tc>
          <w:tcPr>
            <w:tcW w:w="6138" w:type="dxa"/>
            <w:tcBorders>
              <w:top w:val="single" w:sz="18" w:space="0" w:color="000001"/>
            </w:tcBorders>
            <w:shd w:color="auto" w:fill="CCCCCC" w:val="clear"/>
            <w:tcMar>
              <w:left w:w="-10" w:type="dxa"/>
            </w:tcMar>
          </w:tcPr>
          <w:p>
            <w:pPr>
              <w:pStyle w:val="Normal"/>
              <w:shd w:val="clear" w:color="000000" w:themeColor="" w:themeTint="" w:themeShade="" w:fill="FFFFFF" w:themeFill="" w:themeFillTint="" w:themeFillShade=""/>
              <w:spacing w:lineRule="auto" w:line="240" w:before="0" w:after="0"/>
              <w:jc w:val="both"/>
              <w:rPr>
                <w:sz w:val="24"/>
                <w:sz w:val="24"/>
                <w:szCs w:val="26"/>
                <w:rFonts w:ascii="Times New Roman" w:hAnsi="Times New Roman" w:cs="Times New Roman"/>
              </w:rPr>
            </w:pPr>
            <w:r>
              <w:rPr>
                <w:rFonts w:cs="Times New Roman" w:ascii="Times New Roman" w:hAnsi="Times New Roman"/>
                <w:sz w:val="24"/>
                <w:szCs w:val="26"/>
                <w:shd w:fill="C0C0C0" w:val="clear"/>
              </w:rPr>
              <w:t>Serão realizados 6 encontros quinzenais, com duração de 1h30 cada um, totalizando um período de 3 meses. O grupo não tem como pré-requisito aos participantes que tenham sentença transitada em julgado, podendo participar aqueles que têm imposta apenas a medida protetiva.</w:t>
            </w:r>
            <w:r/>
          </w:p>
        </w:tc>
      </w:tr>
      <w:tr>
        <w:trPr>
          <w:trHeight w:val="1379" w:hRule="atLeast"/>
        </w:trPr>
        <w:tc>
          <w:tcPr>
            <w:tcW w:w="2115" w:type="dxa"/>
            <w:tcBorders/>
            <w:shd w:color="auto" w:fill="auto" w:val="clear"/>
            <w:tcMar>
              <w:left w:w="-10" w:type="dxa"/>
            </w:tcMar>
          </w:tcPr>
          <w:p>
            <w:pPr>
              <w:pStyle w:val="Corpodetextorecuado"/>
              <w:spacing w:lineRule="auto" w:line="240" w:before="0" w:after="0"/>
              <w:ind w:hanging="0"/>
              <w:rPr>
                <w:sz w:val="24"/>
                <w:b w:val="false"/>
                <w:sz w:val="24"/>
                <w:b w:val="false"/>
                <w:szCs w:val="24"/>
                <w:bCs w:val="false"/>
                <w:rFonts w:ascii="Times New Roman" w:hAnsi="Times New Roman"/>
              </w:rPr>
            </w:pPr>
            <w:r>
              <w:rPr>
                <w:rFonts w:eastAsia="" w:cs="Times New Roman" w:ascii="Times New Roman" w:hAnsi="Times New Roman" w:eastAsiaTheme="majorEastAsia"/>
                <w:b/>
                <w:bCs/>
                <w:sz w:val="24"/>
                <w:szCs w:val="24"/>
              </w:rPr>
              <w:t>Projeto Piloto “Circulando Relacionamentos”</w:t>
            </w:r>
            <w:r/>
          </w:p>
        </w:tc>
        <w:tc>
          <w:tcPr>
            <w:tcW w:w="1469" w:type="dxa"/>
            <w:tcBorders/>
            <w:shd w:color="auto" w:fill="auto" w:val="clear"/>
            <w:tcMar>
              <w:left w:w="-10" w:type="dxa"/>
            </w:tcMar>
          </w:tcPr>
          <w:p>
            <w:pPr>
              <w:pStyle w:val="Corpodetextorecuado"/>
              <w:spacing w:lineRule="auto" w:line="240" w:before="0" w:after="0"/>
              <w:ind w:hanging="0"/>
              <w:rPr>
                <w:sz w:val="24"/>
                <w:b/>
                <w:sz w:val="24"/>
                <w:b/>
                <w:szCs w:val="24"/>
                <w:bCs/>
                <w:rFonts w:ascii="Times New Roman" w:hAnsi="Times New Roman"/>
              </w:rPr>
            </w:pPr>
            <w:r>
              <w:rPr>
                <w:rFonts w:cs="Times New Roman" w:ascii="Times New Roman" w:hAnsi="Times New Roman"/>
                <w:sz w:val="24"/>
                <w:szCs w:val="24"/>
              </w:rPr>
              <w:t>Ponta Grossa</w:t>
            </w:r>
            <w:r/>
          </w:p>
        </w:tc>
        <w:tc>
          <w:tcPr>
            <w:tcW w:w="1919" w:type="dxa"/>
            <w:tcBorders/>
            <w:shd w:color="auto" w:fill="auto" w:val="clear"/>
            <w:tcMar>
              <w:left w:w="-10" w:type="dxa"/>
            </w:tcMar>
          </w:tcPr>
          <w:p>
            <w:pPr>
              <w:pStyle w:val="Normal"/>
              <w:spacing w:lineRule="auto" w:line="240" w:before="0" w:after="0"/>
              <w:jc w:val="both"/>
              <w:rPr>
                <w:sz w:val="24"/>
                <w:sz w:val="24"/>
                <w:szCs w:val="24"/>
                <w:rFonts w:ascii="Times New Roman" w:hAnsi="Times New Roman"/>
              </w:rPr>
            </w:pPr>
            <w:r>
              <w:rPr>
                <w:rFonts w:ascii="Times New Roman" w:hAnsi="Times New Roman"/>
                <w:color w:val="000000"/>
                <w:sz w:val="24"/>
                <w:szCs w:val="24"/>
                <w:shd w:fill="FFFFFF" w:val="clear"/>
              </w:rPr>
              <w:t>Não Há Registro Dos Dados De Reincidência.</w:t>
            </w:r>
            <w:r/>
          </w:p>
        </w:tc>
        <w:tc>
          <w:tcPr>
            <w:tcW w:w="3554" w:type="dxa"/>
            <w:tcBorders/>
            <w:shd w:color="auto" w:fill="auto" w:val="clear"/>
            <w:tcMar>
              <w:left w:w="-10" w:type="dxa"/>
            </w:tcMar>
          </w:tcPr>
          <w:p>
            <w:pPr>
              <w:pStyle w:val="Normal"/>
              <w:spacing w:lineRule="auto" w:line="240" w:before="0" w:after="0"/>
              <w:jc w:val="both"/>
            </w:pPr>
            <w:r>
              <w:rPr>
                <w:rFonts w:ascii="Times New Roman" w:hAnsi="Times New Roman"/>
                <w:sz w:val="24"/>
                <w:szCs w:val="24"/>
              </w:rPr>
              <w:t>Poder Judiciário do Estado do Paraná – Centro Judiciário De Solução de Conflitos e Cidadania de Ponta Grossa em parceria com a Delegacia da Mulher</w:t>
            </w:r>
            <w:r/>
          </w:p>
        </w:tc>
        <w:tc>
          <w:tcPr>
            <w:tcW w:w="6138" w:type="dxa"/>
            <w:tcBorders/>
            <w:shd w:color="auto" w:fill="auto" w:val="clear"/>
            <w:tcMar>
              <w:left w:w="-10" w:type="dxa"/>
            </w:tcMar>
          </w:tcPr>
          <w:p>
            <w:pPr>
              <w:pStyle w:val="Normal"/>
              <w:shd w:val="clear" w:color="000000" w:themeColor="" w:themeTint="" w:themeShade="" w:fill="FFFFFF" w:themeFill="" w:themeFillTint="" w:themeFillShade=""/>
              <w:spacing w:lineRule="auto" w:line="240" w:before="0" w:after="0"/>
              <w:jc w:val="both"/>
              <w:rPr>
                <w:sz w:val="24"/>
                <w:sz w:val="24"/>
                <w:szCs w:val="24"/>
                <w:rFonts w:ascii="Times New Roman" w:hAnsi="Times New Roman"/>
              </w:rPr>
            </w:pPr>
            <w:r>
              <w:rPr>
                <w:rFonts w:ascii="Times New Roman" w:hAnsi="Times New Roman"/>
                <w:sz w:val="24"/>
                <w:szCs w:val="24"/>
              </w:rPr>
              <w:t>Justiça Restaurativa – 2 facilitadores</w:t>
            </w:r>
            <w:r/>
          </w:p>
        </w:tc>
      </w:tr>
      <w:tr>
        <w:trPr>
          <w:trHeight w:val="1379" w:hRule="atLeast"/>
        </w:trPr>
        <w:tc>
          <w:tcPr>
            <w:tcW w:w="2115" w:type="dxa"/>
            <w:tcBorders/>
            <w:shd w:color="auto" w:fill="auto" w:val="clear"/>
            <w:tcMar>
              <w:left w:w="-10" w:type="dxa"/>
            </w:tcMar>
          </w:tcPr>
          <w:p>
            <w:pPr>
              <w:pStyle w:val="Corpodetextorecuado"/>
              <w:spacing w:lineRule="auto" w:line="240" w:before="0" w:after="0"/>
              <w:ind w:hanging="0"/>
              <w:rPr>
                <w:sz w:val="24"/>
                <w:sz w:val="24"/>
                <w:szCs w:val="24"/>
                <w:bCs w:val="false"/>
                <w:rFonts w:ascii="Times New Roman" w:hAnsi="Times New Roman" w:eastAsia="" w:cs="Times New Roman" w:eastAsiaTheme="majorEastAsia"/>
                <w:color w:val="FF0000"/>
              </w:rPr>
            </w:pPr>
            <w:r>
              <w:rPr>
                <w:rFonts w:eastAsia="" w:cs="Times New Roman" w:ascii="Times New Roman" w:hAnsi="Times New Roman" w:eastAsiaTheme="majorEastAsia"/>
                <w:b/>
                <w:bCs w:val="false"/>
                <w:color w:val="000000"/>
                <w:sz w:val="24"/>
                <w:szCs w:val="24"/>
              </w:rPr>
              <w:t>Projeto “Caminhando juntos” (início em abril de 2017)</w:t>
            </w:r>
            <w:r/>
          </w:p>
        </w:tc>
        <w:tc>
          <w:tcPr>
            <w:tcW w:w="1469" w:type="dxa"/>
            <w:tcBorders/>
            <w:shd w:color="auto" w:fill="auto" w:val="clear"/>
            <w:tcMar>
              <w:left w:w="-10" w:type="dxa"/>
            </w:tcMar>
          </w:tcPr>
          <w:p>
            <w:pPr>
              <w:pStyle w:val="Corpodetextorecuado"/>
              <w:spacing w:lineRule="auto" w:line="240" w:before="0" w:after="0"/>
              <w:ind w:hanging="0"/>
              <w:rPr>
                <w:sz w:val="24"/>
                <w:sz w:val="24"/>
                <w:szCs w:val="24"/>
                <w:rFonts w:ascii="Times New Roman" w:hAnsi="Times New Roman" w:cs="Times New Roman"/>
                <w:color w:val="FF0000"/>
              </w:rPr>
            </w:pPr>
            <w:r>
              <w:rPr>
                <w:rFonts w:cs="Times New Roman" w:ascii="Times New Roman" w:hAnsi="Times New Roman"/>
                <w:color w:val="000000"/>
                <w:sz w:val="24"/>
                <w:szCs w:val="24"/>
              </w:rPr>
              <w:t>Cidade Gaúcha</w:t>
            </w:r>
            <w:r/>
          </w:p>
        </w:tc>
        <w:tc>
          <w:tcPr>
            <w:tcW w:w="1919" w:type="dxa"/>
            <w:tcBorders/>
            <w:shd w:color="auto" w:fill="auto" w:val="clear"/>
            <w:tcMar>
              <w:left w:w="-10" w:type="dxa"/>
            </w:tcMar>
          </w:tcPr>
          <w:p>
            <w:pPr>
              <w:pStyle w:val="Normal"/>
              <w:spacing w:lineRule="auto" w:line="240" w:before="0" w:after="0"/>
              <w:jc w:val="both"/>
              <w:rPr>
                <w:sz w:val="24"/>
                <w:shd w:fill="FFFFFF" w:val="clear"/>
                <w:sz w:val="24"/>
                <w:szCs w:val="24"/>
                <w:rFonts w:ascii="Times New Roman" w:hAnsi="Times New Roman"/>
                <w:color w:val="FF0000"/>
              </w:rPr>
            </w:pPr>
            <w:r>
              <w:rPr>
                <w:rFonts w:ascii="Times New Roman" w:hAnsi="Times New Roman"/>
                <w:color w:val="000000"/>
                <w:sz w:val="24"/>
                <w:szCs w:val="24"/>
                <w:shd w:fill="FFFFFF" w:val="clear"/>
              </w:rPr>
              <w:t>Não há registros dos dados de reincidência.</w:t>
            </w:r>
            <w:r/>
          </w:p>
        </w:tc>
        <w:tc>
          <w:tcPr>
            <w:tcW w:w="3554" w:type="dxa"/>
            <w:tcBorders/>
            <w:shd w:color="auto" w:fill="auto" w:val="clear"/>
            <w:tcMar>
              <w:left w:w="-10" w:type="dxa"/>
            </w:tcMar>
          </w:tcPr>
          <w:p>
            <w:pPr>
              <w:pStyle w:val="Normal"/>
              <w:spacing w:lineRule="auto" w:line="240" w:before="0" w:after="0"/>
              <w:jc w:val="both"/>
              <w:rPr>
                <w:sz w:val="24"/>
                <w:sz w:val="24"/>
                <w:szCs w:val="24"/>
                <w:rFonts w:ascii="Times New Roman" w:hAnsi="Times New Roman"/>
                <w:color w:val="FF0000"/>
              </w:rPr>
            </w:pPr>
            <w:r>
              <w:rPr>
                <w:rFonts w:ascii="Times New Roman" w:hAnsi="Times New Roman"/>
                <w:color w:val="000000"/>
                <w:sz w:val="24"/>
                <w:szCs w:val="24"/>
              </w:rPr>
              <w:t>Poder Judiciário, Ministério Público e CREAS.</w:t>
            </w:r>
            <w:r/>
          </w:p>
        </w:tc>
        <w:tc>
          <w:tcPr>
            <w:tcW w:w="6138" w:type="dxa"/>
            <w:tcBorders/>
            <w:shd w:color="auto" w:fill="auto" w:val="clear"/>
            <w:tcMar>
              <w:left w:w="-10" w:type="dxa"/>
            </w:tcMar>
          </w:tcPr>
          <w:p>
            <w:pPr>
              <w:pStyle w:val="Normal"/>
              <w:shd w:val="clear" w:color="000000" w:themeColor="" w:themeTint="" w:themeShade="" w:fill="FFFFFF" w:themeFill="" w:themeFillTint="" w:themeFillShade=""/>
              <w:spacing w:lineRule="auto" w:line="240" w:before="0" w:after="0"/>
              <w:jc w:val="both"/>
              <w:rPr>
                <w:color w:val="000000"/>
              </w:rPr>
            </w:pPr>
            <w:r>
              <w:rPr>
                <w:rFonts w:ascii="Times New Roman" w:hAnsi="Times New Roman"/>
                <w:color w:val="000000"/>
                <w:sz w:val="24"/>
                <w:szCs w:val="24"/>
              </w:rPr>
              <w:t>Instituído pela Lei Municipal nº 2.256/2017, publicada em 20 de março de 2017.Contribuir para a prevenção e a redução da violência de gênero, promovendo a responsabilização e a sensibilização de homens autores de violência doméstica no Município de Cidade Gaúcha. Elaboração de plano de acompanhamento, bem como a escuta qualificada e visitas para acompanhamento familiar conforme rotina do serviço técnico do CREAS, em consonância com os demais componentes da rede socioassistencial. O encaminhamento se dá após solicitação do Ministério Público no bojo dos autos de Medida Protetiva de Urgência, com determinação judicial em tal sentido.</w:t>
            </w:r>
            <w:r/>
          </w:p>
        </w:tc>
      </w:tr>
      <w:tr>
        <w:trPr>
          <w:trHeight w:val="1379" w:hRule="atLeast"/>
        </w:trPr>
        <w:tc>
          <w:tcPr>
            <w:tcW w:w="2115" w:type="dxa"/>
            <w:tcBorders/>
            <w:shd w:color="auto" w:fill="auto" w:val="clear"/>
            <w:tcMar>
              <w:left w:w="-10" w:type="dxa"/>
            </w:tcMar>
          </w:tcPr>
          <w:p>
            <w:pPr>
              <w:pStyle w:val="Corpodetextorecuado"/>
              <w:spacing w:lineRule="auto" w:line="240" w:before="0" w:after="0"/>
              <w:ind w:hanging="0"/>
              <w:rPr>
                <w:sz w:val="24"/>
                <w:sz w:val="24"/>
                <w:szCs w:val="24"/>
                <w:bCs w:val="false"/>
                <w:rFonts w:ascii="Times New Roman" w:hAnsi="Times New Roman" w:eastAsia="" w:cs="Times New Roman" w:eastAsiaTheme="majorEastAsia"/>
                <w:color w:val="FF0000"/>
              </w:rPr>
            </w:pPr>
            <w:r>
              <w:rPr>
                <w:rFonts w:eastAsia="" w:cs="Times New Roman" w:ascii="Times New Roman" w:hAnsi="Times New Roman" w:eastAsiaTheme="majorEastAsia"/>
                <w:b/>
                <w:bCs w:val="false"/>
                <w:color w:val="000000"/>
                <w:sz w:val="24"/>
                <w:szCs w:val="24"/>
              </w:rPr>
              <w:t>Projeto “Daqui pra frente” (início em setembro de 2016)</w:t>
            </w:r>
            <w:r/>
          </w:p>
        </w:tc>
        <w:tc>
          <w:tcPr>
            <w:tcW w:w="1469" w:type="dxa"/>
            <w:tcBorders/>
            <w:shd w:color="auto" w:fill="auto" w:val="clear"/>
            <w:tcMar>
              <w:left w:w="-10" w:type="dxa"/>
            </w:tcMar>
          </w:tcPr>
          <w:p>
            <w:pPr>
              <w:pStyle w:val="Corpodetextorecuado"/>
              <w:spacing w:lineRule="auto" w:line="240" w:before="0" w:after="0"/>
              <w:ind w:hanging="0"/>
              <w:rPr>
                <w:sz w:val="24"/>
                <w:sz w:val="24"/>
                <w:szCs w:val="24"/>
                <w:rFonts w:ascii="Times New Roman" w:hAnsi="Times New Roman" w:cs="Times New Roman"/>
                <w:color w:val="FF0000"/>
              </w:rPr>
            </w:pPr>
            <w:r>
              <w:rPr>
                <w:rFonts w:cs="Times New Roman" w:ascii="Times New Roman" w:hAnsi="Times New Roman"/>
                <w:color w:val="000000"/>
                <w:sz w:val="24"/>
                <w:szCs w:val="24"/>
              </w:rPr>
              <w:t>São José dos Pinhais</w:t>
            </w:r>
            <w:r/>
          </w:p>
        </w:tc>
        <w:tc>
          <w:tcPr>
            <w:tcW w:w="1919" w:type="dxa"/>
            <w:tcBorders/>
            <w:shd w:color="auto" w:fill="auto" w:val="clear"/>
            <w:tcMar>
              <w:left w:w="-10" w:type="dxa"/>
            </w:tcMar>
          </w:tcPr>
          <w:p>
            <w:pPr>
              <w:pStyle w:val="Normal"/>
              <w:spacing w:lineRule="auto" w:line="240" w:before="0" w:after="0"/>
              <w:jc w:val="both"/>
              <w:rPr>
                <w:sz w:val="24"/>
                <w:shd w:fill="FFFFFF" w:val="clear"/>
                <w:sz w:val="24"/>
                <w:szCs w:val="24"/>
                <w:rFonts w:ascii="Times New Roman" w:hAnsi="Times New Roman"/>
                <w:color w:val="FF0000"/>
              </w:rPr>
            </w:pPr>
            <w:r>
              <w:rPr>
                <w:rFonts w:ascii="Times New Roman" w:hAnsi="Times New Roman"/>
                <w:color w:val="000000"/>
                <w:sz w:val="24"/>
                <w:szCs w:val="24"/>
                <w:shd w:fill="FFFFFF" w:val="clear"/>
              </w:rPr>
              <w:t>Não há registros dos dados de reincidência.</w:t>
            </w:r>
            <w:r/>
          </w:p>
        </w:tc>
        <w:tc>
          <w:tcPr>
            <w:tcW w:w="3554" w:type="dxa"/>
            <w:tcBorders/>
            <w:shd w:color="auto" w:fill="auto" w:val="clear"/>
            <w:tcMar>
              <w:left w:w="-10" w:type="dxa"/>
            </w:tcMar>
          </w:tcPr>
          <w:p>
            <w:pPr>
              <w:pStyle w:val="Normal"/>
              <w:spacing w:lineRule="auto" w:line="240" w:before="0" w:after="0"/>
              <w:jc w:val="both"/>
              <w:rPr>
                <w:sz w:val="24"/>
                <w:sz w:val="24"/>
                <w:szCs w:val="24"/>
                <w:rFonts w:ascii="Times New Roman" w:hAnsi="Times New Roman"/>
                <w:color w:val="FF0000"/>
              </w:rPr>
            </w:pPr>
            <w:r>
              <w:rPr>
                <w:rFonts w:ascii="Times New Roman" w:hAnsi="Times New Roman"/>
                <w:color w:val="000000"/>
                <w:sz w:val="24"/>
                <w:szCs w:val="24"/>
              </w:rPr>
              <w:t>Ministério Público, Tribunal de Justiça, Defensoria Pública e Guarda Municipal.</w:t>
            </w:r>
            <w:r/>
          </w:p>
        </w:tc>
        <w:tc>
          <w:tcPr>
            <w:tcW w:w="6138" w:type="dxa"/>
            <w:tcBorders/>
            <w:shd w:color="auto" w:fill="auto" w:val="clear"/>
            <w:tcMar>
              <w:left w:w="-10" w:type="dxa"/>
            </w:tcMar>
          </w:tcPr>
          <w:p>
            <w:pPr>
              <w:pStyle w:val="Normal"/>
              <w:shd w:val="clear" w:color="000000" w:themeColor="" w:themeTint="" w:themeShade="" w:fill="FFFFFF" w:themeFill="" w:themeFillTint="" w:themeFillShade=""/>
              <w:spacing w:lineRule="auto" w:line="240" w:before="0" w:after="0"/>
              <w:jc w:val="both"/>
              <w:rPr>
                <w:color w:val="000000"/>
              </w:rPr>
            </w:pPr>
            <w:r>
              <w:rPr>
                <w:rFonts w:ascii="Times New Roman" w:hAnsi="Times New Roman"/>
                <w:color w:val="000000"/>
                <w:sz w:val="24"/>
                <w:szCs w:val="24"/>
              </w:rPr>
              <w:t>A partir de encontros semanais com duração de, em média, duas horas, busca-se promover a conscientização de acusados do cometimento de delitos diversos em sede de violência doméstica e familiar contra a mulher. Com esteio em triagem desenvolvida por profissionais de psicologia disponibilizados pelo Município de São José dos Pinhais, agressores de potencial ofensivo considerado de leve a médio são encaminhados a mesas redondas, cujos temas são: 1. Uso, abuso e dependência de substâncias; 2. Direitos humanos e Lei Maria da Penha; 3. Sentir, pensar e agir, o que motiva a agressividade ?; 4. A saúde do homem, cuidados e dúvidas. Após trinta dias da conclusão dos encontros, são realizadas avaliações, a fim de que os participantes abordem o que aprenderam, bem como avaliem a metodologia empregada no programa. Metodologia: o projeto é realizado no formato de encontros de grupo, sendo que tais grupos são formados pelos autores de violência que forem responsabilizados e encaminhados pela Vara de Violência doméstica. O intuito dos encontros é realizar atividades de reflexão em grupo, com a supervisão, apontamentos e contribuições de cada uma das áreas dos(as) profissionais diretores(as) dos encontros, sendo o foco principal a violência doméstica contra as mulheres.</w:t>
            </w:r>
            <w:r/>
          </w:p>
        </w:tc>
      </w:tr>
      <w:tr>
        <w:trPr>
          <w:trHeight w:val="1379" w:hRule="atLeast"/>
        </w:trPr>
        <w:tc>
          <w:tcPr>
            <w:tcW w:w="2115" w:type="dxa"/>
            <w:tcBorders/>
            <w:shd w:color="auto" w:fill="auto" w:val="clear"/>
            <w:tcMar>
              <w:left w:w="-10" w:type="dxa"/>
            </w:tcMar>
          </w:tcPr>
          <w:p>
            <w:pPr>
              <w:pStyle w:val="Corpodetextorecuado"/>
              <w:spacing w:lineRule="auto" w:line="240" w:before="0" w:after="0"/>
              <w:ind w:hanging="0"/>
              <w:rPr>
                <w:color w:val="000000"/>
              </w:rPr>
            </w:pPr>
            <w:r>
              <w:rPr>
                <w:rFonts w:eastAsia="" w:cs="Times New Roman" w:ascii="Times New Roman" w:hAnsi="Times New Roman" w:eastAsiaTheme="majorEastAsia"/>
                <w:b/>
                <w:bCs w:val="false"/>
                <w:color w:val="000000"/>
                <w:sz w:val="24"/>
                <w:szCs w:val="24"/>
              </w:rPr>
              <w:t>Atendimento individual do Homem Agressor</w:t>
            </w:r>
            <w:r/>
          </w:p>
        </w:tc>
        <w:tc>
          <w:tcPr>
            <w:tcW w:w="1469" w:type="dxa"/>
            <w:tcBorders/>
            <w:shd w:color="auto" w:fill="auto" w:val="clear"/>
            <w:tcMar>
              <w:left w:w="-10" w:type="dxa"/>
            </w:tcMar>
          </w:tcPr>
          <w:p>
            <w:pPr>
              <w:pStyle w:val="Corpodetextorecuado"/>
              <w:spacing w:lineRule="auto" w:line="240" w:before="0" w:after="0"/>
              <w:ind w:hanging="0"/>
              <w:rPr>
                <w:sz w:val="24"/>
                <w:sz w:val="24"/>
                <w:szCs w:val="24"/>
                <w:rFonts w:ascii="Times New Roman" w:hAnsi="Times New Roman" w:cs="Times New Roman"/>
                <w:color w:val="FF0000"/>
              </w:rPr>
            </w:pPr>
            <w:r>
              <w:rPr>
                <w:rFonts w:cs="Times New Roman" w:ascii="Times New Roman" w:hAnsi="Times New Roman"/>
                <w:color w:val="000000"/>
                <w:sz w:val="24"/>
                <w:szCs w:val="24"/>
              </w:rPr>
              <w:t>Piraquara</w:t>
            </w:r>
            <w:r/>
          </w:p>
        </w:tc>
        <w:tc>
          <w:tcPr>
            <w:tcW w:w="1919" w:type="dxa"/>
            <w:tcBorders/>
            <w:shd w:color="auto" w:fill="auto" w:val="clear"/>
            <w:tcMar>
              <w:left w:w="-10" w:type="dxa"/>
            </w:tcMar>
          </w:tcPr>
          <w:p>
            <w:pPr>
              <w:pStyle w:val="Normal"/>
              <w:spacing w:lineRule="auto" w:line="240" w:before="0" w:after="0"/>
              <w:jc w:val="both"/>
              <w:rPr>
                <w:sz w:val="24"/>
                <w:shd w:fill="FFFFFF" w:val="clear"/>
                <w:sz w:val="24"/>
                <w:szCs w:val="24"/>
                <w:rFonts w:ascii="Times New Roman" w:hAnsi="Times New Roman"/>
                <w:color w:val="FF0000"/>
              </w:rPr>
            </w:pPr>
            <w:r>
              <w:rPr>
                <w:rFonts w:ascii="Times New Roman" w:hAnsi="Times New Roman"/>
                <w:color w:val="000000"/>
                <w:sz w:val="24"/>
                <w:szCs w:val="24"/>
                <w:shd w:fill="FFFFFF" w:val="clear"/>
              </w:rPr>
              <w:t>Não há registros dos dados de reincidência.</w:t>
            </w:r>
            <w:r/>
          </w:p>
        </w:tc>
        <w:tc>
          <w:tcPr>
            <w:tcW w:w="3554" w:type="dxa"/>
            <w:tcBorders/>
            <w:shd w:color="auto" w:fill="auto" w:val="clear"/>
            <w:tcMar>
              <w:left w:w="-10" w:type="dxa"/>
            </w:tcMar>
          </w:tcPr>
          <w:p>
            <w:pPr>
              <w:pStyle w:val="Normal"/>
              <w:spacing w:lineRule="auto" w:line="240" w:before="0" w:after="0"/>
              <w:jc w:val="both"/>
              <w:rPr>
                <w:sz w:val="24"/>
                <w:sz w:val="24"/>
                <w:szCs w:val="24"/>
                <w:rFonts w:ascii="Times New Roman" w:hAnsi="Times New Roman"/>
                <w:color w:val="FF0000"/>
              </w:rPr>
            </w:pPr>
            <w:r>
              <w:rPr>
                <w:rFonts w:ascii="Times New Roman" w:hAnsi="Times New Roman"/>
                <w:color w:val="000000"/>
                <w:sz w:val="24"/>
                <w:szCs w:val="24"/>
              </w:rPr>
              <w:t>CREAS</w:t>
            </w:r>
            <w:r/>
          </w:p>
        </w:tc>
        <w:tc>
          <w:tcPr>
            <w:tcW w:w="6138" w:type="dxa"/>
            <w:tcBorders/>
            <w:shd w:color="auto" w:fill="auto" w:val="clear"/>
            <w:tcMar>
              <w:left w:w="-10" w:type="dxa"/>
            </w:tcMar>
          </w:tcPr>
          <w:p>
            <w:pPr>
              <w:pStyle w:val="Normal"/>
              <w:shd w:val="clear" w:color="000000" w:themeColor="" w:themeTint="" w:themeShade="" w:fill="FFFFFF" w:themeFill="" w:themeFillTint="" w:themeFillShade=""/>
              <w:spacing w:lineRule="auto" w:line="240" w:before="0" w:after="0"/>
              <w:jc w:val="both"/>
              <w:rPr>
                <w:color w:val="000000"/>
              </w:rPr>
            </w:pPr>
            <w:r>
              <w:rPr>
                <w:rFonts w:ascii="Times New Roman" w:hAnsi="Times New Roman"/>
                <w:color w:val="000000"/>
                <w:sz w:val="24"/>
                <w:szCs w:val="24"/>
              </w:rPr>
              <w:t>Centro de Referência</w:t>
            </w:r>
            <w:bookmarkStart w:id="3" w:name="_GoBack"/>
            <w:bookmarkEnd w:id="3"/>
            <w:r>
              <w:rPr>
                <w:rFonts w:ascii="Times New Roman" w:hAnsi="Times New Roman"/>
                <w:color w:val="000000"/>
                <w:sz w:val="24"/>
                <w:szCs w:val="24"/>
              </w:rPr>
              <w:t xml:space="preserve"> Especializado de Assistência Social – CREAS, órgão municipal dessa cidade, possui atendimento específico à reabilitação/ educação do homem agressor no âmbito da violência doméstica e familiar.</w:t>
            </w:r>
            <w:r/>
          </w:p>
          <w:p>
            <w:pPr>
              <w:pStyle w:val="Normal"/>
              <w:shd w:val="clear" w:color="000000" w:themeColor="" w:themeTint="" w:themeShade="" w:fill="FFFFFF" w:themeFill="" w:themeFillTint="" w:themeFillShade=""/>
              <w:spacing w:lineRule="auto" w:line="240" w:before="0" w:after="0"/>
              <w:jc w:val="both"/>
              <w:rPr>
                <w:sz w:val="24"/>
                <w:sz w:val="24"/>
                <w:szCs w:val="24"/>
                <w:rFonts w:ascii="Times New Roman" w:hAnsi="Times New Roman" w:eastAsia="Calibri" w:cs=""/>
                <w:color w:val="000000"/>
                <w:lang w:val="pt-BR" w:eastAsia="en-US" w:bidi="ar-SA"/>
              </w:rPr>
            </w:pPr>
            <w:r>
              <w:rPr>
                <w:rFonts w:ascii="Times New Roman" w:hAnsi="Times New Roman"/>
                <w:color w:val="000000"/>
                <w:sz w:val="24"/>
                <w:szCs w:val="24"/>
              </w:rPr>
            </w:r>
            <w:r/>
          </w:p>
        </w:tc>
      </w:tr>
      <w:tr>
        <w:trPr>
          <w:trHeight w:val="1379" w:hRule="atLeast"/>
        </w:trPr>
        <w:tc>
          <w:tcPr>
            <w:tcW w:w="2115" w:type="dxa"/>
            <w:tcBorders/>
            <w:shd w:color="auto" w:fill="auto" w:val="clear"/>
            <w:tcMar>
              <w:left w:w="-10" w:type="dxa"/>
            </w:tcMar>
          </w:tcPr>
          <w:p>
            <w:pPr>
              <w:pStyle w:val="Corpodetextorecuado"/>
              <w:spacing w:lineRule="auto" w:line="240" w:before="0" w:after="0"/>
              <w:ind w:hanging="0"/>
              <w:rPr>
                <w:b/>
                <w:b/>
                <w:bCs/>
                <w:rFonts w:ascii="Cambria" w:hAnsi="Cambria" w:eastAsia="" w:cs="" w:asciiTheme="majorHAnsi" w:cstheme="majorBidi" w:eastAsiaTheme="majorEastAsia" w:hAnsiTheme="majorHAnsi"/>
              </w:rPr>
            </w:pPr>
            <w:r>
              <w:rPr>
                <w:rFonts w:eastAsia="" w:cs="" w:ascii="Cambria" w:hAnsi="Cambria" w:cstheme="majorBidi" w:eastAsiaTheme="majorEastAsia"/>
                <w:b/>
                <w:bCs/>
              </w:rPr>
              <w:t>Grupos de reflexão/responsabilização de autores de violência doméstica familiar (início em 2015)</w:t>
            </w:r>
            <w:r/>
          </w:p>
        </w:tc>
        <w:tc>
          <w:tcPr>
            <w:tcW w:w="1469" w:type="dxa"/>
            <w:tcBorders/>
            <w:shd w:color="auto" w:fill="auto" w:val="clear"/>
            <w:tcMar>
              <w:left w:w="-10" w:type="dxa"/>
            </w:tcMar>
          </w:tcPr>
          <w:p>
            <w:pPr>
              <w:pStyle w:val="Corpodetextorecuado"/>
              <w:spacing w:lineRule="auto" w:line="240" w:before="0" w:after="0"/>
              <w:ind w:hanging="0"/>
              <w:rPr>
                <w:sz w:val="22"/>
                <w:sz w:val="22"/>
                <w:szCs w:val="22"/>
                <w:rFonts w:ascii="Bookman Old Style" w:hAnsi="Bookman Old Style" w:eastAsia="Calibri" w:cs="Bookman Old Style"/>
                <w:color w:val="00000A"/>
                <w:lang w:val="pt-BR" w:eastAsia="en-US" w:bidi="ar-SA"/>
              </w:rPr>
            </w:pPr>
            <w:r>
              <w:rPr/>
              <w:t>Corbélia</w:t>
            </w:r>
            <w:r/>
          </w:p>
        </w:tc>
        <w:tc>
          <w:tcPr>
            <w:tcW w:w="1919" w:type="dxa"/>
            <w:tcBorders/>
            <w:shd w:color="auto" w:fill="auto" w:val="clear"/>
            <w:tcMar>
              <w:left w:w="-10" w:type="dxa"/>
            </w:tcMar>
          </w:tcPr>
          <w:p>
            <w:pPr>
              <w:pStyle w:val="Normal"/>
              <w:spacing w:lineRule="auto" w:line="240" w:before="0" w:after="0"/>
              <w:jc w:val="both"/>
              <w:rPr>
                <w:sz w:val="22"/>
                <w:sz w:val="22"/>
                <w:szCs w:val="22"/>
                <w:rFonts w:ascii="Calibri" w:hAnsi="Calibri" w:eastAsia="Calibri" w:cs=""/>
                <w:color w:val="00000A"/>
                <w:lang w:val="pt-BR" w:eastAsia="en-US" w:bidi="ar-SA"/>
              </w:rPr>
            </w:pPr>
            <w:bookmarkStart w:id="4" w:name="__DdeLink__644_360249571"/>
            <w:bookmarkEnd w:id="4"/>
            <w:r>
              <w:rPr/>
              <w:t>Não há registros dos casos de reincidência.</w:t>
            </w:r>
            <w:r/>
          </w:p>
        </w:tc>
        <w:tc>
          <w:tcPr>
            <w:tcW w:w="3554" w:type="dxa"/>
            <w:tcBorders/>
            <w:shd w:color="auto" w:fill="auto" w:val="clear"/>
            <w:tcMar>
              <w:left w:w="-10" w:type="dxa"/>
            </w:tcMar>
          </w:tcPr>
          <w:p>
            <w:pPr>
              <w:pStyle w:val="Normal"/>
              <w:spacing w:lineRule="auto" w:line="240" w:before="0" w:after="0"/>
              <w:jc w:val="both"/>
              <w:rPr>
                <w:sz w:val="22"/>
                <w:sz w:val="22"/>
                <w:szCs w:val="22"/>
                <w:rFonts w:ascii="Calibri" w:hAnsi="Calibri" w:eastAsia="Calibri" w:cs=""/>
                <w:color w:val="00000A"/>
                <w:lang w:val="pt-BR" w:eastAsia="en-US" w:bidi="ar-SA"/>
              </w:rPr>
            </w:pPr>
            <w:r>
              <w:rPr/>
              <w:t>Ministério Público e Secretarias de Saúde dos municípios de  Anahy, Braganey, Corbélia e Iguatu.</w:t>
            </w:r>
            <w:r/>
          </w:p>
        </w:tc>
        <w:tc>
          <w:tcPr>
            <w:tcW w:w="6138" w:type="dxa"/>
            <w:tcBorders/>
            <w:shd w:color="auto" w:fill="auto" w:val="clear"/>
            <w:tcMar>
              <w:left w:w="-10" w:type="dxa"/>
            </w:tcMar>
          </w:tcPr>
          <w:p>
            <w:pPr>
              <w:pStyle w:val="Normal"/>
              <w:shd w:val="clear" w:color="" w:themeColor="" w:themeTint="" w:themeShade="" w:fill="FFFFFF" w:themeFill="" w:themeFillTint="" w:themeFillShade=""/>
              <w:spacing w:lineRule="auto" w:line="240" w:before="0" w:after="0"/>
              <w:jc w:val="both"/>
            </w:pPr>
            <w:r>
              <w:rPr>
                <w:rFonts w:ascii="Times New Roman" w:hAnsi="Times New Roman"/>
                <w:color w:val="222222"/>
                <w:sz w:val="24"/>
                <w:szCs w:val="20"/>
                <w:shd w:fill="FFFFFF" w:val="clear"/>
              </w:rPr>
              <w:t>Promover o acompanhamento médico e psicológico especializado das vítimas de violência doméstica.</w:t>
            </w:r>
            <w:r/>
          </w:p>
        </w:tc>
      </w:tr>
      <w:tr>
        <w:trPr>
          <w:trHeight w:val="1379" w:hRule="atLeast"/>
        </w:trPr>
        <w:tc>
          <w:tcPr>
            <w:tcW w:w="2115" w:type="dxa"/>
            <w:tcBorders/>
            <w:shd w:color="auto" w:fill="auto" w:val="clear"/>
            <w:tcMar>
              <w:left w:w="-10" w:type="dxa"/>
            </w:tcMar>
          </w:tcPr>
          <w:p>
            <w:pPr>
              <w:pStyle w:val="Corpodetextorecuado"/>
              <w:spacing w:lineRule="auto" w:line="240" w:before="0" w:after="0"/>
              <w:ind w:hanging="0"/>
              <w:rPr>
                <w:b/>
                <w:b/>
                <w:bCs/>
                <w:rFonts w:ascii="Cambria" w:hAnsi="Cambria" w:eastAsia="" w:cs="" w:asciiTheme="majorHAnsi" w:cstheme="majorBidi" w:eastAsiaTheme="majorEastAsia" w:hAnsiTheme="majorHAnsi"/>
              </w:rPr>
            </w:pPr>
            <w:r>
              <w:rPr>
                <w:rFonts w:eastAsia="" w:cs="" w:ascii="Cambria" w:hAnsi="Cambria" w:cstheme="majorBidi" w:eastAsiaTheme="majorEastAsia"/>
                <w:b/>
                <w:bCs/>
              </w:rPr>
              <w:t>Grupos de atenção aos agressores.</w:t>
            </w:r>
            <w:r/>
          </w:p>
        </w:tc>
        <w:tc>
          <w:tcPr>
            <w:tcW w:w="1469" w:type="dxa"/>
            <w:tcBorders/>
            <w:shd w:color="auto" w:fill="auto" w:val="clear"/>
            <w:tcMar>
              <w:left w:w="-10" w:type="dxa"/>
            </w:tcMar>
          </w:tcPr>
          <w:p>
            <w:pPr>
              <w:pStyle w:val="Corpodetextorecuado"/>
              <w:spacing w:lineRule="auto" w:line="240" w:before="0" w:after="0"/>
              <w:ind w:hanging="0"/>
              <w:rPr>
                <w:sz w:val="22"/>
                <w:sz w:val="22"/>
                <w:szCs w:val="22"/>
                <w:rFonts w:ascii="Bookman Old Style" w:hAnsi="Bookman Old Style" w:eastAsia="Calibri" w:cs="Bookman Old Style"/>
                <w:color w:val="00000A"/>
                <w:lang w:val="pt-BR" w:eastAsia="en-US" w:bidi="ar-SA"/>
              </w:rPr>
            </w:pPr>
            <w:r>
              <w:rPr/>
              <w:t>Jaguariaíva</w:t>
            </w:r>
            <w:r/>
          </w:p>
        </w:tc>
        <w:tc>
          <w:tcPr>
            <w:tcW w:w="1919" w:type="dxa"/>
            <w:tcBorders/>
            <w:shd w:color="auto" w:fill="auto" w:val="clear"/>
            <w:tcMar>
              <w:left w:w="-10" w:type="dxa"/>
            </w:tcMar>
          </w:tcPr>
          <w:p>
            <w:pPr>
              <w:pStyle w:val="Normal"/>
              <w:spacing w:lineRule="auto" w:line="240" w:before="0" w:after="0"/>
              <w:jc w:val="both"/>
              <w:rPr>
                <w:sz w:val="22"/>
                <w:sz w:val="22"/>
                <w:szCs w:val="22"/>
                <w:rFonts w:ascii="Calibri" w:hAnsi="Calibri" w:eastAsia="Calibri" w:cs=""/>
                <w:color w:val="00000A"/>
                <w:lang w:val="pt-BR" w:eastAsia="en-US" w:bidi="ar-SA"/>
              </w:rPr>
            </w:pPr>
            <w:r>
              <w:rPr/>
              <w:t>Não há registros dos casos de reincidência.</w:t>
            </w:r>
            <w:r/>
          </w:p>
        </w:tc>
        <w:tc>
          <w:tcPr>
            <w:tcW w:w="3554" w:type="dxa"/>
            <w:tcBorders/>
            <w:shd w:color="auto" w:fill="auto" w:val="clear"/>
            <w:tcMar>
              <w:left w:w="-10" w:type="dxa"/>
            </w:tcMar>
          </w:tcPr>
          <w:p>
            <w:pPr>
              <w:pStyle w:val="Normal"/>
              <w:spacing w:lineRule="auto" w:line="240" w:before="0" w:after="0"/>
              <w:jc w:val="both"/>
              <w:rPr>
                <w:sz w:val="22"/>
                <w:sz w:val="22"/>
                <w:szCs w:val="22"/>
                <w:rFonts w:ascii="Calibri" w:hAnsi="Calibri" w:eastAsia="Calibri" w:cs=""/>
                <w:color w:val="00000A"/>
                <w:lang w:val="pt-BR" w:eastAsia="en-US" w:bidi="ar-SA"/>
              </w:rPr>
            </w:pPr>
            <w:r>
              <w:rPr/>
              <w:t>Ministério Público.</w:t>
            </w:r>
            <w:r/>
          </w:p>
        </w:tc>
        <w:tc>
          <w:tcPr>
            <w:tcW w:w="6138" w:type="dxa"/>
            <w:tcBorders/>
            <w:shd w:color="auto" w:fill="auto" w:val="clear"/>
            <w:tcMar>
              <w:left w:w="-10" w:type="dxa"/>
            </w:tcMar>
          </w:tcPr>
          <w:p>
            <w:pPr>
              <w:pStyle w:val="Normal"/>
              <w:shd w:val="clear" w:color="" w:themeColor="" w:themeTint="" w:themeShade="" w:fill="FFFFFF" w:themeFill="" w:themeFillTint="" w:themeFillShade=""/>
              <w:spacing w:lineRule="auto" w:line="240" w:before="0" w:after="0"/>
              <w:jc w:val="both"/>
            </w:pPr>
            <w:r>
              <w:rPr>
                <w:rFonts w:ascii="Times New Roman" w:hAnsi="Times New Roman"/>
                <w:color w:val="222222"/>
                <w:sz w:val="24"/>
                <w:szCs w:val="20"/>
                <w:shd w:fill="FFFFFF" w:val="clear"/>
              </w:rPr>
              <w:t>Promover ações junto ao poder público municipal no sentido de serem implementados grupos de atenção aos agressores a respeito dos direitos humanos e direitos das mulheres, nos termos da Lei 11.340/2006.</w:t>
            </w:r>
            <w:r/>
          </w:p>
        </w:tc>
      </w:tr>
      <w:tr>
        <w:trPr>
          <w:trHeight w:val="1379" w:hRule="atLeast"/>
        </w:trPr>
        <w:tc>
          <w:tcPr>
            <w:tcW w:w="2115" w:type="dxa"/>
            <w:tcBorders/>
            <w:shd w:color="auto" w:fill="auto" w:val="clear"/>
            <w:tcMar>
              <w:left w:w="-10" w:type="dxa"/>
            </w:tcMar>
          </w:tcPr>
          <w:p>
            <w:pPr>
              <w:pStyle w:val="Corpodetextorecuado"/>
              <w:spacing w:lineRule="auto" w:line="240" w:before="0" w:after="0"/>
              <w:ind w:hanging="0"/>
              <w:rPr>
                <w:sz w:val="22"/>
                <w:b/>
                <w:sz w:val="22"/>
                <w:b/>
                <w:szCs w:val="22"/>
                <w:bCs/>
                <w:rFonts w:ascii="Cambria" w:hAnsi="Cambria" w:eastAsia="" w:cs="" w:asciiTheme="majorHAnsi" w:cstheme="majorBidi" w:eastAsiaTheme="majorEastAsia" w:hAnsiTheme="majorHAnsi"/>
                <w:color w:val="00000A"/>
                <w:lang w:val="pt-BR" w:eastAsia="en-US" w:bidi="ar-SA"/>
              </w:rPr>
            </w:pPr>
            <w:r>
              <w:rPr>
                <w:rFonts w:eastAsia="" w:cs="" w:cstheme="majorBidi" w:eastAsiaTheme="majorEastAsia" w:ascii="Cambria" w:hAnsi="Cambria"/>
                <w:b/>
                <w:bCs/>
              </w:rPr>
            </w:r>
            <w:r/>
          </w:p>
        </w:tc>
        <w:tc>
          <w:tcPr>
            <w:tcW w:w="1469" w:type="dxa"/>
            <w:tcBorders/>
            <w:shd w:color="auto" w:fill="auto" w:val="clear"/>
            <w:tcMar>
              <w:left w:w="-10" w:type="dxa"/>
            </w:tcMar>
          </w:tcPr>
          <w:p>
            <w:pPr>
              <w:pStyle w:val="Corpodetextorecuado"/>
              <w:spacing w:lineRule="auto" w:line="240" w:before="0" w:after="0"/>
              <w:ind w:hanging="0"/>
              <w:rPr>
                <w:sz w:val="22"/>
                <w:sz w:val="22"/>
                <w:szCs w:val="22"/>
                <w:rFonts w:ascii="Bookman Old Style" w:hAnsi="Bookman Old Style" w:eastAsia="Calibri" w:cs="Bookman Old Style"/>
                <w:color w:val="00000A"/>
                <w:lang w:val="pt-BR" w:eastAsia="en-US" w:bidi="ar-SA"/>
              </w:rPr>
            </w:pPr>
            <w:r>
              <w:rPr/>
            </w:r>
            <w:r/>
          </w:p>
        </w:tc>
        <w:tc>
          <w:tcPr>
            <w:tcW w:w="1919" w:type="dxa"/>
            <w:tcBorders/>
            <w:shd w:color="auto" w:fill="auto" w:val="clear"/>
            <w:tcMar>
              <w:left w:w="-10" w:type="dxa"/>
            </w:tcMar>
          </w:tcPr>
          <w:p>
            <w:pPr>
              <w:pStyle w:val="Normal"/>
              <w:spacing w:lineRule="auto" w:line="240" w:before="0" w:after="0"/>
              <w:jc w:val="both"/>
              <w:rPr>
                <w:sz w:val="22"/>
                <w:sz w:val="22"/>
                <w:szCs w:val="22"/>
                <w:rFonts w:ascii="Calibri" w:hAnsi="Calibri" w:eastAsia="Calibri" w:cs=""/>
                <w:color w:val="00000A"/>
                <w:lang w:val="pt-BR" w:eastAsia="en-US" w:bidi="ar-SA"/>
              </w:rPr>
            </w:pPr>
            <w:r>
              <w:rPr/>
            </w:r>
            <w:r/>
          </w:p>
        </w:tc>
        <w:tc>
          <w:tcPr>
            <w:tcW w:w="3554" w:type="dxa"/>
            <w:tcBorders/>
            <w:shd w:color="auto" w:fill="auto" w:val="clear"/>
            <w:tcMar>
              <w:left w:w="-10" w:type="dxa"/>
            </w:tcMar>
          </w:tcPr>
          <w:p>
            <w:pPr>
              <w:pStyle w:val="Normal"/>
              <w:spacing w:lineRule="auto" w:line="240" w:before="0" w:after="0"/>
              <w:jc w:val="both"/>
              <w:rPr>
                <w:sz w:val="22"/>
                <w:sz w:val="22"/>
                <w:szCs w:val="22"/>
                <w:rFonts w:ascii="Calibri" w:hAnsi="Calibri" w:eastAsia="Calibri" w:cs=""/>
                <w:color w:val="00000A"/>
                <w:lang w:val="pt-BR" w:eastAsia="en-US" w:bidi="ar-SA"/>
              </w:rPr>
            </w:pPr>
            <w:r>
              <w:rPr/>
            </w:r>
            <w:r/>
          </w:p>
        </w:tc>
        <w:tc>
          <w:tcPr>
            <w:tcW w:w="6138" w:type="dxa"/>
            <w:tcBorders/>
            <w:shd w:color="auto" w:fill="auto" w:val="clear"/>
            <w:tcMar>
              <w:left w:w="-10" w:type="dxa"/>
            </w:tcMar>
          </w:tcPr>
          <w:p>
            <w:pPr>
              <w:pStyle w:val="Normal"/>
              <w:shd w:val="clear" w:color="000000" w:themeColor="" w:themeTint="" w:themeShade="" w:fill="FFFFFF" w:themeFill="" w:themeFillTint="" w:themeFillShade=""/>
              <w:spacing w:lineRule="auto" w:line="240" w:before="0" w:after="0"/>
              <w:jc w:val="both"/>
              <w:rPr>
                <w:sz w:val="22"/>
                <w:sz w:val="22"/>
                <w:szCs w:val="22"/>
                <w:rFonts w:ascii="Calibri" w:hAnsi="Calibri" w:eastAsia="Calibri" w:cs=""/>
                <w:color w:val="00000A"/>
                <w:lang w:val="pt-BR" w:eastAsia="en-US" w:bidi="ar-SA"/>
              </w:rPr>
            </w:pPr>
            <w:r>
              <w:rPr/>
            </w:r>
            <w:r/>
          </w:p>
        </w:tc>
      </w:tr>
      <w:tr>
        <w:trPr>
          <w:trHeight w:val="1379" w:hRule="atLeast"/>
        </w:trPr>
        <w:tc>
          <w:tcPr>
            <w:tcW w:w="2115" w:type="dxa"/>
            <w:tcBorders/>
            <w:shd w:color="auto" w:fill="auto" w:val="clear"/>
            <w:tcMar>
              <w:left w:w="-10" w:type="dxa"/>
            </w:tcMar>
          </w:tcPr>
          <w:p>
            <w:pPr>
              <w:pStyle w:val="Corpodetextorecuado"/>
              <w:spacing w:lineRule="auto" w:line="240" w:before="0" w:after="0"/>
              <w:ind w:hanging="0"/>
              <w:rPr>
                <w:sz w:val="22"/>
                <w:b/>
                <w:sz w:val="22"/>
                <w:b/>
                <w:szCs w:val="22"/>
                <w:bCs/>
                <w:rFonts w:ascii="Cambria" w:hAnsi="Cambria" w:eastAsia="" w:cs="" w:asciiTheme="majorHAnsi" w:cstheme="majorBidi" w:eastAsiaTheme="majorEastAsia" w:hAnsiTheme="majorHAnsi"/>
                <w:color w:val="00000A"/>
                <w:lang w:val="pt-BR" w:eastAsia="en-US" w:bidi="ar-SA"/>
              </w:rPr>
            </w:pPr>
            <w:r>
              <w:rPr>
                <w:rFonts w:eastAsia="" w:cs="" w:cstheme="majorBidi" w:eastAsiaTheme="majorEastAsia" w:ascii="Cambria" w:hAnsi="Cambria"/>
                <w:b/>
                <w:bCs/>
              </w:rPr>
            </w:r>
            <w:r/>
          </w:p>
        </w:tc>
        <w:tc>
          <w:tcPr>
            <w:tcW w:w="1469" w:type="dxa"/>
            <w:tcBorders/>
            <w:shd w:color="auto" w:fill="auto" w:val="clear"/>
            <w:tcMar>
              <w:left w:w="-10" w:type="dxa"/>
            </w:tcMar>
          </w:tcPr>
          <w:p>
            <w:pPr>
              <w:pStyle w:val="Corpodetextorecuado"/>
              <w:spacing w:lineRule="auto" w:line="240" w:before="0" w:after="0"/>
              <w:ind w:hanging="0"/>
              <w:rPr>
                <w:sz w:val="22"/>
                <w:sz w:val="22"/>
                <w:szCs w:val="22"/>
                <w:rFonts w:ascii="Bookman Old Style" w:hAnsi="Bookman Old Style" w:eastAsia="Calibri" w:cs="Bookman Old Style"/>
                <w:color w:val="00000A"/>
                <w:lang w:val="pt-BR" w:eastAsia="en-US" w:bidi="ar-SA"/>
              </w:rPr>
            </w:pPr>
            <w:r>
              <w:rPr/>
            </w:r>
            <w:r/>
          </w:p>
        </w:tc>
        <w:tc>
          <w:tcPr>
            <w:tcW w:w="1919" w:type="dxa"/>
            <w:tcBorders/>
            <w:shd w:color="auto" w:fill="auto" w:val="clear"/>
            <w:tcMar>
              <w:left w:w="-10" w:type="dxa"/>
            </w:tcMar>
          </w:tcPr>
          <w:p>
            <w:pPr>
              <w:pStyle w:val="Normal"/>
              <w:spacing w:lineRule="auto" w:line="240" w:before="0" w:after="0"/>
              <w:jc w:val="both"/>
              <w:rPr>
                <w:sz w:val="22"/>
                <w:sz w:val="22"/>
                <w:szCs w:val="22"/>
                <w:rFonts w:ascii="Calibri" w:hAnsi="Calibri" w:eastAsia="Calibri" w:cs=""/>
                <w:color w:val="00000A"/>
                <w:lang w:val="pt-BR" w:eastAsia="en-US" w:bidi="ar-SA"/>
              </w:rPr>
            </w:pPr>
            <w:r>
              <w:rPr/>
            </w:r>
            <w:r/>
          </w:p>
        </w:tc>
        <w:tc>
          <w:tcPr>
            <w:tcW w:w="3554" w:type="dxa"/>
            <w:tcBorders/>
            <w:shd w:color="auto" w:fill="auto" w:val="clear"/>
            <w:tcMar>
              <w:left w:w="-10" w:type="dxa"/>
            </w:tcMar>
          </w:tcPr>
          <w:p>
            <w:pPr>
              <w:pStyle w:val="Normal"/>
              <w:spacing w:lineRule="auto" w:line="240" w:before="0" w:after="0"/>
              <w:jc w:val="both"/>
              <w:rPr>
                <w:sz w:val="22"/>
                <w:sz w:val="22"/>
                <w:szCs w:val="22"/>
                <w:rFonts w:ascii="Calibri" w:hAnsi="Calibri" w:eastAsia="Calibri" w:cs=""/>
                <w:color w:val="00000A"/>
                <w:lang w:val="pt-BR" w:eastAsia="en-US" w:bidi="ar-SA"/>
              </w:rPr>
            </w:pPr>
            <w:r>
              <w:rPr/>
            </w:r>
            <w:r/>
          </w:p>
        </w:tc>
        <w:tc>
          <w:tcPr>
            <w:tcW w:w="6138" w:type="dxa"/>
            <w:tcBorders/>
            <w:shd w:color="auto" w:fill="auto" w:val="clear"/>
            <w:tcMar>
              <w:left w:w="-10" w:type="dxa"/>
            </w:tcMar>
          </w:tcPr>
          <w:p>
            <w:pPr>
              <w:pStyle w:val="Normal"/>
              <w:shd w:val="clear" w:color="000000" w:themeColor="" w:themeTint="" w:themeShade="" w:fill="FFFFFF" w:themeFill="" w:themeFillTint="" w:themeFillShade=""/>
              <w:spacing w:lineRule="auto" w:line="240" w:before="0" w:after="0"/>
              <w:jc w:val="both"/>
              <w:rPr>
                <w:sz w:val="22"/>
                <w:sz w:val="22"/>
                <w:szCs w:val="22"/>
                <w:rFonts w:ascii="Calibri" w:hAnsi="Calibri" w:eastAsia="Calibri" w:cs=""/>
                <w:color w:val="00000A"/>
                <w:lang w:val="pt-BR" w:eastAsia="en-US" w:bidi="ar-SA"/>
              </w:rPr>
            </w:pPr>
            <w:r>
              <w:rPr/>
            </w:r>
            <w:r/>
          </w:p>
        </w:tc>
      </w:tr>
      <w:tr>
        <w:trPr>
          <w:trHeight w:val="1379" w:hRule="atLeast"/>
        </w:trPr>
        <w:tc>
          <w:tcPr>
            <w:tcW w:w="2115" w:type="dxa"/>
            <w:tcBorders/>
            <w:shd w:color="auto" w:fill="auto" w:val="clear"/>
            <w:tcMar>
              <w:left w:w="-10" w:type="dxa"/>
            </w:tcMar>
          </w:tcPr>
          <w:p>
            <w:pPr>
              <w:pStyle w:val="Corpodetextorecuado"/>
              <w:spacing w:lineRule="auto" w:line="240" w:before="0" w:after="0"/>
              <w:ind w:hanging="0"/>
              <w:rPr>
                <w:sz w:val="22"/>
                <w:b/>
                <w:sz w:val="22"/>
                <w:b/>
                <w:szCs w:val="22"/>
                <w:bCs/>
                <w:rFonts w:ascii="Cambria" w:hAnsi="Cambria" w:eastAsia="" w:cs="" w:asciiTheme="majorHAnsi" w:cstheme="majorBidi" w:eastAsiaTheme="majorEastAsia" w:hAnsiTheme="majorHAnsi"/>
                <w:color w:val="00000A"/>
                <w:lang w:val="pt-BR" w:eastAsia="en-US" w:bidi="ar-SA"/>
              </w:rPr>
            </w:pPr>
            <w:r>
              <w:rPr>
                <w:rFonts w:eastAsia="" w:cs="" w:cstheme="majorBidi" w:eastAsiaTheme="majorEastAsia" w:ascii="Cambria" w:hAnsi="Cambria"/>
                <w:b/>
                <w:bCs/>
              </w:rPr>
            </w:r>
            <w:r/>
          </w:p>
        </w:tc>
        <w:tc>
          <w:tcPr>
            <w:tcW w:w="1469" w:type="dxa"/>
            <w:tcBorders/>
            <w:shd w:color="auto" w:fill="auto" w:val="clear"/>
            <w:tcMar>
              <w:left w:w="-10" w:type="dxa"/>
            </w:tcMar>
          </w:tcPr>
          <w:p>
            <w:pPr>
              <w:pStyle w:val="Corpodetextorecuado"/>
              <w:spacing w:lineRule="auto" w:line="240" w:before="0" w:after="0"/>
              <w:ind w:hanging="0"/>
              <w:rPr>
                <w:sz w:val="22"/>
                <w:sz w:val="22"/>
                <w:szCs w:val="22"/>
                <w:rFonts w:ascii="Bookman Old Style" w:hAnsi="Bookman Old Style" w:eastAsia="Calibri" w:cs="Bookman Old Style"/>
                <w:color w:val="00000A"/>
                <w:lang w:val="pt-BR" w:eastAsia="en-US" w:bidi="ar-SA"/>
              </w:rPr>
            </w:pPr>
            <w:r>
              <w:rPr/>
            </w:r>
            <w:r/>
          </w:p>
        </w:tc>
        <w:tc>
          <w:tcPr>
            <w:tcW w:w="1919" w:type="dxa"/>
            <w:tcBorders/>
            <w:shd w:color="auto" w:fill="auto" w:val="clear"/>
            <w:tcMar>
              <w:left w:w="-10" w:type="dxa"/>
            </w:tcMar>
          </w:tcPr>
          <w:p>
            <w:pPr>
              <w:pStyle w:val="Normal"/>
              <w:spacing w:lineRule="auto" w:line="240" w:before="0" w:after="0"/>
              <w:jc w:val="both"/>
              <w:rPr>
                <w:sz w:val="22"/>
                <w:sz w:val="22"/>
                <w:szCs w:val="22"/>
                <w:rFonts w:ascii="Calibri" w:hAnsi="Calibri" w:eastAsia="Calibri" w:cs=""/>
                <w:color w:val="00000A"/>
                <w:lang w:val="pt-BR" w:eastAsia="en-US" w:bidi="ar-SA"/>
              </w:rPr>
            </w:pPr>
            <w:r>
              <w:rPr/>
            </w:r>
            <w:r/>
          </w:p>
        </w:tc>
        <w:tc>
          <w:tcPr>
            <w:tcW w:w="3554" w:type="dxa"/>
            <w:tcBorders/>
            <w:shd w:color="auto" w:fill="auto" w:val="clear"/>
            <w:tcMar>
              <w:left w:w="-10" w:type="dxa"/>
            </w:tcMar>
          </w:tcPr>
          <w:p>
            <w:pPr>
              <w:pStyle w:val="Normal"/>
              <w:spacing w:lineRule="auto" w:line="240" w:before="0" w:after="0"/>
              <w:jc w:val="both"/>
              <w:rPr>
                <w:sz w:val="22"/>
                <w:sz w:val="22"/>
                <w:szCs w:val="22"/>
                <w:rFonts w:ascii="Calibri" w:hAnsi="Calibri" w:eastAsia="Calibri" w:cs=""/>
                <w:color w:val="00000A"/>
                <w:lang w:val="pt-BR" w:eastAsia="en-US" w:bidi="ar-SA"/>
              </w:rPr>
            </w:pPr>
            <w:r>
              <w:rPr/>
            </w:r>
            <w:r/>
          </w:p>
        </w:tc>
        <w:tc>
          <w:tcPr>
            <w:tcW w:w="6138" w:type="dxa"/>
            <w:tcBorders/>
            <w:shd w:color="auto" w:fill="auto" w:val="clear"/>
            <w:tcMar>
              <w:left w:w="-10" w:type="dxa"/>
            </w:tcMar>
          </w:tcPr>
          <w:p>
            <w:pPr>
              <w:pStyle w:val="Normal"/>
              <w:shd w:val="clear" w:color="000000" w:themeColor="" w:themeTint="" w:themeShade="" w:fill="FFFFFF" w:themeFill="" w:themeFillTint="" w:themeFillShade=""/>
              <w:spacing w:lineRule="auto" w:line="240" w:before="0" w:after="0"/>
              <w:jc w:val="both"/>
              <w:rPr>
                <w:sz w:val="22"/>
                <w:sz w:val="22"/>
                <w:szCs w:val="22"/>
                <w:rFonts w:ascii="Calibri" w:hAnsi="Calibri" w:eastAsia="Calibri" w:cs=""/>
                <w:color w:val="00000A"/>
                <w:lang w:val="pt-BR" w:eastAsia="en-US" w:bidi="ar-SA"/>
              </w:rPr>
            </w:pPr>
            <w:r>
              <w:rPr/>
            </w:r>
            <w:r/>
          </w:p>
        </w:tc>
      </w:tr>
      <w:tr>
        <w:trPr>
          <w:trHeight w:val="1379" w:hRule="atLeast"/>
        </w:trPr>
        <w:tc>
          <w:tcPr>
            <w:tcW w:w="2115" w:type="dxa"/>
            <w:tcBorders/>
            <w:shd w:color="auto" w:fill="auto" w:val="clear"/>
            <w:tcMar>
              <w:left w:w="-10" w:type="dxa"/>
            </w:tcMar>
          </w:tcPr>
          <w:p>
            <w:pPr>
              <w:pStyle w:val="Corpodetextorecuado"/>
              <w:spacing w:lineRule="auto" w:line="240" w:before="0" w:after="0"/>
              <w:ind w:hanging="0"/>
              <w:rPr>
                <w:sz w:val="22"/>
                <w:b/>
                <w:sz w:val="22"/>
                <w:b/>
                <w:szCs w:val="22"/>
                <w:bCs/>
                <w:rFonts w:ascii="Cambria" w:hAnsi="Cambria" w:eastAsia="" w:cs="" w:asciiTheme="majorHAnsi" w:cstheme="majorBidi" w:eastAsiaTheme="majorEastAsia" w:hAnsiTheme="majorHAnsi"/>
                <w:color w:val="00000A"/>
                <w:lang w:val="pt-BR" w:eastAsia="en-US" w:bidi="ar-SA"/>
              </w:rPr>
            </w:pPr>
            <w:r>
              <w:rPr>
                <w:rFonts w:eastAsia="" w:cs="" w:cstheme="majorBidi" w:eastAsiaTheme="majorEastAsia" w:ascii="Cambria" w:hAnsi="Cambria"/>
                <w:b/>
                <w:bCs/>
              </w:rPr>
            </w:r>
            <w:r/>
          </w:p>
        </w:tc>
        <w:tc>
          <w:tcPr>
            <w:tcW w:w="1469" w:type="dxa"/>
            <w:tcBorders/>
            <w:shd w:color="auto" w:fill="auto" w:val="clear"/>
            <w:tcMar>
              <w:left w:w="-10" w:type="dxa"/>
            </w:tcMar>
          </w:tcPr>
          <w:p>
            <w:pPr>
              <w:pStyle w:val="Corpodetextorecuado"/>
              <w:spacing w:lineRule="auto" w:line="240" w:before="0" w:after="0"/>
              <w:ind w:hanging="0"/>
              <w:rPr>
                <w:sz w:val="22"/>
                <w:sz w:val="22"/>
                <w:szCs w:val="22"/>
                <w:rFonts w:ascii="Bookman Old Style" w:hAnsi="Bookman Old Style" w:eastAsia="Calibri" w:cs="Bookman Old Style"/>
                <w:color w:val="00000A"/>
                <w:lang w:val="pt-BR" w:eastAsia="en-US" w:bidi="ar-SA"/>
              </w:rPr>
            </w:pPr>
            <w:r>
              <w:rPr/>
            </w:r>
            <w:r/>
          </w:p>
        </w:tc>
        <w:tc>
          <w:tcPr>
            <w:tcW w:w="1919" w:type="dxa"/>
            <w:tcBorders/>
            <w:shd w:color="auto" w:fill="auto" w:val="clear"/>
            <w:tcMar>
              <w:left w:w="-10" w:type="dxa"/>
            </w:tcMar>
          </w:tcPr>
          <w:p>
            <w:pPr>
              <w:pStyle w:val="Normal"/>
              <w:spacing w:lineRule="auto" w:line="240" w:before="0" w:after="0"/>
              <w:jc w:val="both"/>
              <w:rPr>
                <w:sz w:val="22"/>
                <w:sz w:val="22"/>
                <w:szCs w:val="22"/>
                <w:rFonts w:ascii="Calibri" w:hAnsi="Calibri" w:eastAsia="Calibri" w:cs=""/>
                <w:color w:val="00000A"/>
                <w:lang w:val="pt-BR" w:eastAsia="en-US" w:bidi="ar-SA"/>
              </w:rPr>
            </w:pPr>
            <w:r>
              <w:rPr/>
            </w:r>
            <w:r/>
          </w:p>
        </w:tc>
        <w:tc>
          <w:tcPr>
            <w:tcW w:w="3554" w:type="dxa"/>
            <w:tcBorders/>
            <w:shd w:color="auto" w:fill="auto" w:val="clear"/>
            <w:tcMar>
              <w:left w:w="-10" w:type="dxa"/>
            </w:tcMar>
          </w:tcPr>
          <w:p>
            <w:pPr>
              <w:pStyle w:val="Normal"/>
              <w:spacing w:lineRule="auto" w:line="240" w:before="0" w:after="0"/>
              <w:jc w:val="both"/>
              <w:rPr>
                <w:sz w:val="22"/>
                <w:sz w:val="22"/>
                <w:szCs w:val="22"/>
                <w:rFonts w:ascii="Calibri" w:hAnsi="Calibri" w:eastAsia="Calibri" w:cs=""/>
                <w:color w:val="00000A"/>
                <w:lang w:val="pt-BR" w:eastAsia="en-US" w:bidi="ar-SA"/>
              </w:rPr>
            </w:pPr>
            <w:r>
              <w:rPr/>
            </w:r>
            <w:r/>
          </w:p>
        </w:tc>
        <w:tc>
          <w:tcPr>
            <w:tcW w:w="6138" w:type="dxa"/>
            <w:tcBorders/>
            <w:shd w:color="auto" w:fill="auto" w:val="clear"/>
            <w:tcMar>
              <w:left w:w="-10" w:type="dxa"/>
            </w:tcMar>
          </w:tcPr>
          <w:p>
            <w:pPr>
              <w:pStyle w:val="Normal"/>
              <w:shd w:val="clear" w:color="000000" w:themeColor="" w:themeTint="" w:themeShade="" w:fill="FFFFFF" w:themeFill="" w:themeFillTint="" w:themeFillShade=""/>
              <w:spacing w:lineRule="auto" w:line="240" w:before="0" w:after="0"/>
              <w:jc w:val="both"/>
              <w:rPr>
                <w:sz w:val="22"/>
                <w:sz w:val="22"/>
                <w:szCs w:val="22"/>
                <w:rFonts w:ascii="Calibri" w:hAnsi="Calibri" w:eastAsia="Calibri" w:cs=""/>
                <w:color w:val="00000A"/>
                <w:lang w:val="pt-BR" w:eastAsia="en-US" w:bidi="ar-SA"/>
              </w:rPr>
            </w:pPr>
            <w:r>
              <w:rPr/>
            </w:r>
            <w:r/>
          </w:p>
        </w:tc>
      </w:tr>
      <w:tr>
        <w:trPr>
          <w:trHeight w:val="1379" w:hRule="atLeast"/>
        </w:trPr>
        <w:tc>
          <w:tcPr>
            <w:tcW w:w="2115" w:type="dxa"/>
            <w:tcBorders/>
            <w:shd w:color="auto" w:fill="auto" w:val="clear"/>
            <w:tcMar>
              <w:left w:w="-10" w:type="dxa"/>
            </w:tcMar>
          </w:tcPr>
          <w:p>
            <w:pPr>
              <w:pStyle w:val="Corpodetextorecuado"/>
              <w:spacing w:lineRule="auto" w:line="240" w:before="0" w:after="0"/>
              <w:ind w:hanging="0"/>
              <w:rPr>
                <w:sz w:val="22"/>
                <w:b/>
                <w:sz w:val="22"/>
                <w:b/>
                <w:szCs w:val="22"/>
                <w:bCs/>
                <w:rFonts w:ascii="Cambria" w:hAnsi="Cambria" w:eastAsia="" w:cs="" w:asciiTheme="majorHAnsi" w:cstheme="majorBidi" w:eastAsiaTheme="majorEastAsia" w:hAnsiTheme="majorHAnsi"/>
                <w:color w:val="00000A"/>
                <w:lang w:val="pt-BR" w:eastAsia="en-US" w:bidi="ar-SA"/>
              </w:rPr>
            </w:pPr>
            <w:r>
              <w:rPr>
                <w:rFonts w:eastAsia="" w:cs="" w:cstheme="majorBidi" w:eastAsiaTheme="majorEastAsia" w:ascii="Cambria" w:hAnsi="Cambria"/>
                <w:b/>
                <w:bCs/>
              </w:rPr>
            </w:r>
            <w:r/>
          </w:p>
        </w:tc>
        <w:tc>
          <w:tcPr>
            <w:tcW w:w="1469" w:type="dxa"/>
            <w:tcBorders/>
            <w:shd w:color="auto" w:fill="auto" w:val="clear"/>
            <w:tcMar>
              <w:left w:w="-10" w:type="dxa"/>
            </w:tcMar>
          </w:tcPr>
          <w:p>
            <w:pPr>
              <w:pStyle w:val="Corpodetextorecuado"/>
              <w:spacing w:lineRule="auto" w:line="240" w:before="0" w:after="0"/>
              <w:ind w:hanging="0"/>
              <w:rPr>
                <w:sz w:val="22"/>
                <w:sz w:val="22"/>
                <w:szCs w:val="22"/>
                <w:rFonts w:ascii="Bookman Old Style" w:hAnsi="Bookman Old Style" w:eastAsia="Calibri" w:cs="Bookman Old Style"/>
                <w:color w:val="00000A"/>
                <w:lang w:val="pt-BR" w:eastAsia="en-US" w:bidi="ar-SA"/>
              </w:rPr>
            </w:pPr>
            <w:r>
              <w:rPr/>
            </w:r>
            <w:r/>
          </w:p>
        </w:tc>
        <w:tc>
          <w:tcPr>
            <w:tcW w:w="1919" w:type="dxa"/>
            <w:tcBorders/>
            <w:shd w:color="auto" w:fill="auto" w:val="clear"/>
            <w:tcMar>
              <w:left w:w="-10" w:type="dxa"/>
            </w:tcMar>
          </w:tcPr>
          <w:p>
            <w:pPr>
              <w:pStyle w:val="Normal"/>
              <w:spacing w:lineRule="auto" w:line="240" w:before="0" w:after="0"/>
              <w:jc w:val="both"/>
              <w:rPr>
                <w:sz w:val="22"/>
                <w:sz w:val="22"/>
                <w:szCs w:val="22"/>
                <w:rFonts w:ascii="Calibri" w:hAnsi="Calibri" w:eastAsia="Calibri" w:cs=""/>
                <w:color w:val="00000A"/>
                <w:lang w:val="pt-BR" w:eastAsia="en-US" w:bidi="ar-SA"/>
              </w:rPr>
            </w:pPr>
            <w:r>
              <w:rPr/>
            </w:r>
            <w:r/>
          </w:p>
        </w:tc>
        <w:tc>
          <w:tcPr>
            <w:tcW w:w="3554" w:type="dxa"/>
            <w:tcBorders/>
            <w:shd w:color="auto" w:fill="auto" w:val="clear"/>
            <w:tcMar>
              <w:left w:w="-10" w:type="dxa"/>
            </w:tcMar>
          </w:tcPr>
          <w:p>
            <w:pPr>
              <w:pStyle w:val="Normal"/>
              <w:spacing w:lineRule="auto" w:line="240" w:before="0" w:after="0"/>
              <w:jc w:val="both"/>
              <w:rPr>
                <w:sz w:val="22"/>
                <w:sz w:val="22"/>
                <w:szCs w:val="22"/>
                <w:rFonts w:ascii="Calibri" w:hAnsi="Calibri" w:eastAsia="Calibri" w:cs=""/>
                <w:color w:val="00000A"/>
                <w:lang w:val="pt-BR" w:eastAsia="en-US" w:bidi="ar-SA"/>
              </w:rPr>
            </w:pPr>
            <w:r>
              <w:rPr/>
            </w:r>
            <w:r/>
          </w:p>
        </w:tc>
        <w:tc>
          <w:tcPr>
            <w:tcW w:w="6138" w:type="dxa"/>
            <w:tcBorders/>
            <w:shd w:color="auto" w:fill="auto" w:val="clear"/>
            <w:tcMar>
              <w:left w:w="-10" w:type="dxa"/>
            </w:tcMar>
          </w:tcPr>
          <w:p>
            <w:pPr>
              <w:pStyle w:val="Normal"/>
              <w:shd w:val="clear" w:color="000000" w:themeColor="" w:themeTint="" w:themeShade="" w:fill="FFFFFF" w:themeFill="" w:themeFillTint="" w:themeFillShade=""/>
              <w:spacing w:lineRule="auto" w:line="240" w:before="0" w:after="0"/>
              <w:jc w:val="both"/>
              <w:rPr>
                <w:sz w:val="22"/>
                <w:sz w:val="22"/>
                <w:szCs w:val="22"/>
                <w:rFonts w:ascii="Calibri" w:hAnsi="Calibri" w:eastAsia="Calibri" w:cs=""/>
                <w:color w:val="00000A"/>
                <w:lang w:val="pt-BR" w:eastAsia="en-US" w:bidi="ar-SA"/>
              </w:rPr>
            </w:pPr>
            <w:r>
              <w:rPr/>
            </w:r>
            <w:r/>
          </w:p>
        </w:tc>
      </w:tr>
      <w:tr>
        <w:trPr>
          <w:trHeight w:val="1379" w:hRule="atLeast"/>
        </w:trPr>
        <w:tc>
          <w:tcPr>
            <w:tcW w:w="2115" w:type="dxa"/>
            <w:tcBorders/>
            <w:shd w:color="auto" w:fill="auto" w:val="clear"/>
            <w:tcMar>
              <w:left w:w="-10" w:type="dxa"/>
            </w:tcMar>
          </w:tcPr>
          <w:p>
            <w:pPr>
              <w:pStyle w:val="Corpodetextorecuado"/>
              <w:spacing w:lineRule="auto" w:line="240" w:before="0" w:after="0"/>
              <w:ind w:hanging="0"/>
              <w:rPr>
                <w:sz w:val="22"/>
                <w:b/>
                <w:sz w:val="22"/>
                <w:b/>
                <w:szCs w:val="22"/>
                <w:bCs/>
                <w:rFonts w:ascii="Cambria" w:hAnsi="Cambria" w:eastAsia="" w:cs="" w:asciiTheme="majorHAnsi" w:cstheme="majorBidi" w:eastAsiaTheme="majorEastAsia" w:hAnsiTheme="majorHAnsi"/>
                <w:color w:val="00000A"/>
                <w:lang w:val="pt-BR" w:eastAsia="en-US" w:bidi="ar-SA"/>
              </w:rPr>
            </w:pPr>
            <w:r>
              <w:rPr>
                <w:rFonts w:eastAsia="" w:cs="" w:cstheme="majorBidi" w:eastAsiaTheme="majorEastAsia" w:ascii="Cambria" w:hAnsi="Cambria"/>
                <w:b/>
                <w:bCs/>
              </w:rPr>
            </w:r>
            <w:r/>
          </w:p>
        </w:tc>
        <w:tc>
          <w:tcPr>
            <w:tcW w:w="1469" w:type="dxa"/>
            <w:tcBorders/>
            <w:shd w:color="auto" w:fill="auto" w:val="clear"/>
            <w:tcMar>
              <w:left w:w="-10" w:type="dxa"/>
            </w:tcMar>
          </w:tcPr>
          <w:p>
            <w:pPr>
              <w:pStyle w:val="Corpodetextorecuado"/>
              <w:spacing w:lineRule="auto" w:line="240" w:before="0" w:after="0"/>
              <w:ind w:hanging="0"/>
              <w:rPr>
                <w:sz w:val="22"/>
                <w:sz w:val="22"/>
                <w:szCs w:val="22"/>
                <w:rFonts w:ascii="Bookman Old Style" w:hAnsi="Bookman Old Style" w:eastAsia="Calibri" w:cs="Bookman Old Style"/>
                <w:color w:val="00000A"/>
                <w:lang w:val="pt-BR" w:eastAsia="en-US" w:bidi="ar-SA"/>
              </w:rPr>
            </w:pPr>
            <w:r>
              <w:rPr/>
            </w:r>
            <w:r/>
          </w:p>
        </w:tc>
        <w:tc>
          <w:tcPr>
            <w:tcW w:w="1919" w:type="dxa"/>
            <w:tcBorders/>
            <w:shd w:color="auto" w:fill="auto" w:val="clear"/>
            <w:tcMar>
              <w:left w:w="-10" w:type="dxa"/>
            </w:tcMar>
          </w:tcPr>
          <w:p>
            <w:pPr>
              <w:pStyle w:val="Normal"/>
              <w:spacing w:lineRule="auto" w:line="240" w:before="0" w:after="0"/>
              <w:jc w:val="both"/>
              <w:rPr>
                <w:sz w:val="22"/>
                <w:sz w:val="22"/>
                <w:szCs w:val="22"/>
                <w:rFonts w:ascii="Calibri" w:hAnsi="Calibri" w:eastAsia="Calibri" w:cs=""/>
                <w:color w:val="00000A"/>
                <w:lang w:val="pt-BR" w:eastAsia="en-US" w:bidi="ar-SA"/>
              </w:rPr>
            </w:pPr>
            <w:r>
              <w:rPr/>
            </w:r>
            <w:r/>
          </w:p>
        </w:tc>
        <w:tc>
          <w:tcPr>
            <w:tcW w:w="3554" w:type="dxa"/>
            <w:tcBorders/>
            <w:shd w:color="auto" w:fill="auto" w:val="clear"/>
            <w:tcMar>
              <w:left w:w="-10" w:type="dxa"/>
            </w:tcMar>
          </w:tcPr>
          <w:p>
            <w:pPr>
              <w:pStyle w:val="Normal"/>
              <w:spacing w:lineRule="auto" w:line="240" w:before="0" w:after="0"/>
              <w:jc w:val="both"/>
              <w:rPr>
                <w:sz w:val="22"/>
                <w:sz w:val="22"/>
                <w:szCs w:val="22"/>
                <w:rFonts w:ascii="Calibri" w:hAnsi="Calibri" w:eastAsia="Calibri" w:cs=""/>
                <w:color w:val="00000A"/>
                <w:lang w:val="pt-BR" w:eastAsia="en-US" w:bidi="ar-SA"/>
              </w:rPr>
            </w:pPr>
            <w:r>
              <w:rPr/>
            </w:r>
            <w:r/>
          </w:p>
        </w:tc>
        <w:tc>
          <w:tcPr>
            <w:tcW w:w="6138" w:type="dxa"/>
            <w:tcBorders/>
            <w:shd w:color="auto" w:fill="auto" w:val="clear"/>
            <w:tcMar>
              <w:left w:w="-10" w:type="dxa"/>
            </w:tcMar>
          </w:tcPr>
          <w:p>
            <w:pPr>
              <w:pStyle w:val="Normal"/>
              <w:shd w:val="clear" w:color="000000" w:themeColor="" w:themeTint="" w:themeShade="" w:fill="FFFFFF" w:themeFill="" w:themeFillTint="" w:themeFillShade=""/>
              <w:spacing w:lineRule="auto" w:line="240" w:before="0" w:after="0"/>
              <w:jc w:val="both"/>
              <w:rPr>
                <w:sz w:val="22"/>
                <w:sz w:val="22"/>
                <w:szCs w:val="22"/>
                <w:rFonts w:ascii="Calibri" w:hAnsi="Calibri" w:eastAsia="Calibri" w:cs=""/>
                <w:color w:val="00000A"/>
                <w:lang w:val="pt-BR" w:eastAsia="en-US" w:bidi="ar-SA"/>
              </w:rPr>
            </w:pPr>
            <w:r>
              <w:rPr/>
            </w:r>
            <w:r/>
          </w:p>
        </w:tc>
      </w:tr>
      <w:tr>
        <w:trPr>
          <w:trHeight w:val="1379" w:hRule="atLeast"/>
        </w:trPr>
        <w:tc>
          <w:tcPr>
            <w:tcW w:w="2115" w:type="dxa"/>
            <w:tcBorders/>
            <w:shd w:color="auto" w:fill="auto" w:val="clear"/>
            <w:tcMar>
              <w:left w:w="-10" w:type="dxa"/>
            </w:tcMar>
          </w:tcPr>
          <w:p>
            <w:pPr>
              <w:pStyle w:val="Corpodetextorecuado"/>
              <w:spacing w:lineRule="auto" w:line="240" w:before="0" w:after="0"/>
              <w:ind w:hanging="0"/>
              <w:rPr>
                <w:sz w:val="22"/>
                <w:b/>
                <w:sz w:val="22"/>
                <w:b/>
                <w:szCs w:val="22"/>
                <w:bCs/>
                <w:rFonts w:ascii="Cambria" w:hAnsi="Cambria" w:eastAsia="" w:cs="" w:asciiTheme="majorHAnsi" w:cstheme="majorBidi" w:eastAsiaTheme="majorEastAsia" w:hAnsiTheme="majorHAnsi"/>
                <w:color w:val="00000A"/>
                <w:lang w:val="pt-BR" w:eastAsia="en-US" w:bidi="ar-SA"/>
              </w:rPr>
            </w:pPr>
            <w:r>
              <w:rPr>
                <w:rFonts w:eastAsia="" w:cs="" w:cstheme="majorBidi" w:eastAsiaTheme="majorEastAsia" w:ascii="Cambria" w:hAnsi="Cambria"/>
                <w:b/>
                <w:bCs/>
              </w:rPr>
            </w:r>
            <w:r/>
          </w:p>
        </w:tc>
        <w:tc>
          <w:tcPr>
            <w:tcW w:w="1469" w:type="dxa"/>
            <w:tcBorders/>
            <w:shd w:color="auto" w:fill="auto" w:val="clear"/>
            <w:tcMar>
              <w:left w:w="-10" w:type="dxa"/>
            </w:tcMar>
          </w:tcPr>
          <w:p>
            <w:pPr>
              <w:pStyle w:val="Corpodetextorecuado"/>
              <w:spacing w:lineRule="auto" w:line="240" w:before="0" w:after="0"/>
              <w:ind w:hanging="0"/>
              <w:rPr>
                <w:sz w:val="22"/>
                <w:sz w:val="22"/>
                <w:szCs w:val="22"/>
                <w:rFonts w:ascii="Bookman Old Style" w:hAnsi="Bookman Old Style" w:eastAsia="Calibri" w:cs="Bookman Old Style"/>
                <w:color w:val="00000A"/>
                <w:lang w:val="pt-BR" w:eastAsia="en-US" w:bidi="ar-SA"/>
              </w:rPr>
            </w:pPr>
            <w:r>
              <w:rPr/>
            </w:r>
            <w:r/>
          </w:p>
        </w:tc>
        <w:tc>
          <w:tcPr>
            <w:tcW w:w="1919" w:type="dxa"/>
            <w:tcBorders/>
            <w:shd w:color="auto" w:fill="auto" w:val="clear"/>
            <w:tcMar>
              <w:left w:w="-10" w:type="dxa"/>
            </w:tcMar>
          </w:tcPr>
          <w:p>
            <w:pPr>
              <w:pStyle w:val="Normal"/>
              <w:spacing w:lineRule="auto" w:line="240" w:before="0" w:after="0"/>
              <w:jc w:val="both"/>
              <w:rPr>
                <w:sz w:val="22"/>
                <w:sz w:val="22"/>
                <w:szCs w:val="22"/>
                <w:rFonts w:ascii="Calibri" w:hAnsi="Calibri" w:eastAsia="Calibri" w:cs=""/>
                <w:color w:val="00000A"/>
                <w:lang w:val="pt-BR" w:eastAsia="en-US" w:bidi="ar-SA"/>
              </w:rPr>
            </w:pPr>
            <w:r>
              <w:rPr/>
            </w:r>
            <w:r/>
          </w:p>
        </w:tc>
        <w:tc>
          <w:tcPr>
            <w:tcW w:w="3554" w:type="dxa"/>
            <w:tcBorders/>
            <w:shd w:color="auto" w:fill="auto" w:val="clear"/>
            <w:tcMar>
              <w:left w:w="-10" w:type="dxa"/>
            </w:tcMar>
          </w:tcPr>
          <w:p>
            <w:pPr>
              <w:pStyle w:val="Normal"/>
              <w:spacing w:lineRule="auto" w:line="240" w:before="0" w:after="0"/>
              <w:jc w:val="both"/>
              <w:rPr>
                <w:sz w:val="22"/>
                <w:sz w:val="22"/>
                <w:szCs w:val="22"/>
                <w:rFonts w:ascii="Calibri" w:hAnsi="Calibri" w:eastAsia="Calibri" w:cs=""/>
                <w:color w:val="00000A"/>
                <w:lang w:val="pt-BR" w:eastAsia="en-US" w:bidi="ar-SA"/>
              </w:rPr>
            </w:pPr>
            <w:r>
              <w:rPr/>
            </w:r>
            <w:r/>
          </w:p>
        </w:tc>
        <w:tc>
          <w:tcPr>
            <w:tcW w:w="6138" w:type="dxa"/>
            <w:tcBorders/>
            <w:shd w:color="auto" w:fill="auto" w:val="clear"/>
            <w:tcMar>
              <w:left w:w="-10" w:type="dxa"/>
            </w:tcMar>
          </w:tcPr>
          <w:p>
            <w:pPr>
              <w:pStyle w:val="Normal"/>
              <w:shd w:val="clear" w:color="000000" w:themeColor="" w:themeTint="" w:themeShade="" w:fill="FFFFFF" w:themeFill="" w:themeFillTint="" w:themeFillShade=""/>
              <w:spacing w:lineRule="auto" w:line="240" w:before="0" w:after="0"/>
              <w:jc w:val="both"/>
              <w:rPr>
                <w:sz w:val="22"/>
                <w:sz w:val="22"/>
                <w:szCs w:val="22"/>
                <w:rFonts w:ascii="Calibri" w:hAnsi="Calibri" w:eastAsia="Calibri" w:cs=""/>
                <w:color w:val="00000A"/>
                <w:lang w:val="pt-BR" w:eastAsia="en-US" w:bidi="ar-SA"/>
              </w:rPr>
            </w:pPr>
            <w:r>
              <w:rPr/>
            </w:r>
            <w:r/>
          </w:p>
        </w:tc>
      </w:tr>
      <w:tr>
        <w:trPr>
          <w:trHeight w:val="1379" w:hRule="atLeast"/>
        </w:trPr>
        <w:tc>
          <w:tcPr>
            <w:tcW w:w="2115" w:type="dxa"/>
            <w:tcBorders/>
            <w:shd w:color="auto" w:fill="auto" w:val="clear"/>
            <w:tcMar>
              <w:left w:w="-10" w:type="dxa"/>
            </w:tcMar>
          </w:tcPr>
          <w:p>
            <w:pPr>
              <w:pStyle w:val="Corpodetextorecuado"/>
              <w:spacing w:lineRule="auto" w:line="240" w:before="0" w:after="0"/>
              <w:ind w:hanging="0"/>
              <w:rPr>
                <w:sz w:val="22"/>
                <w:b/>
                <w:sz w:val="22"/>
                <w:b/>
                <w:szCs w:val="22"/>
                <w:bCs/>
                <w:rFonts w:ascii="Cambria" w:hAnsi="Cambria" w:eastAsia="" w:cs="" w:asciiTheme="majorHAnsi" w:cstheme="majorBidi" w:eastAsiaTheme="majorEastAsia" w:hAnsiTheme="majorHAnsi"/>
                <w:color w:val="00000A"/>
                <w:lang w:val="pt-BR" w:eastAsia="en-US" w:bidi="ar-SA"/>
              </w:rPr>
            </w:pPr>
            <w:r>
              <w:rPr>
                <w:rFonts w:eastAsia="" w:cs="" w:cstheme="majorBidi" w:eastAsiaTheme="majorEastAsia" w:ascii="Cambria" w:hAnsi="Cambria"/>
                <w:b/>
                <w:bCs/>
              </w:rPr>
            </w:r>
            <w:r/>
          </w:p>
        </w:tc>
        <w:tc>
          <w:tcPr>
            <w:tcW w:w="1469" w:type="dxa"/>
            <w:tcBorders/>
            <w:shd w:color="auto" w:fill="auto" w:val="clear"/>
            <w:tcMar>
              <w:left w:w="-10" w:type="dxa"/>
            </w:tcMar>
          </w:tcPr>
          <w:p>
            <w:pPr>
              <w:pStyle w:val="Corpodetextorecuado"/>
              <w:spacing w:lineRule="auto" w:line="240" w:before="0" w:after="0"/>
              <w:ind w:hanging="0"/>
              <w:rPr>
                <w:sz w:val="22"/>
                <w:sz w:val="22"/>
                <w:szCs w:val="22"/>
                <w:rFonts w:ascii="Bookman Old Style" w:hAnsi="Bookman Old Style" w:eastAsia="Calibri" w:cs="Bookman Old Style"/>
                <w:color w:val="00000A"/>
                <w:lang w:val="pt-BR" w:eastAsia="en-US" w:bidi="ar-SA"/>
              </w:rPr>
            </w:pPr>
            <w:r>
              <w:rPr/>
            </w:r>
            <w:r/>
          </w:p>
        </w:tc>
        <w:tc>
          <w:tcPr>
            <w:tcW w:w="1919" w:type="dxa"/>
            <w:tcBorders/>
            <w:shd w:color="auto" w:fill="auto" w:val="clear"/>
            <w:tcMar>
              <w:left w:w="-10" w:type="dxa"/>
            </w:tcMar>
          </w:tcPr>
          <w:p>
            <w:pPr>
              <w:pStyle w:val="Normal"/>
              <w:spacing w:lineRule="auto" w:line="240" w:before="0" w:after="0"/>
              <w:jc w:val="both"/>
              <w:rPr>
                <w:sz w:val="22"/>
                <w:sz w:val="22"/>
                <w:szCs w:val="22"/>
                <w:rFonts w:ascii="Calibri" w:hAnsi="Calibri" w:eastAsia="Calibri" w:cs=""/>
                <w:color w:val="00000A"/>
                <w:lang w:val="pt-BR" w:eastAsia="en-US" w:bidi="ar-SA"/>
              </w:rPr>
            </w:pPr>
            <w:r>
              <w:rPr/>
            </w:r>
            <w:r/>
          </w:p>
        </w:tc>
        <w:tc>
          <w:tcPr>
            <w:tcW w:w="3554" w:type="dxa"/>
            <w:tcBorders/>
            <w:shd w:color="auto" w:fill="auto" w:val="clear"/>
            <w:tcMar>
              <w:left w:w="-10" w:type="dxa"/>
            </w:tcMar>
          </w:tcPr>
          <w:p>
            <w:pPr>
              <w:pStyle w:val="Normal"/>
              <w:spacing w:lineRule="auto" w:line="240" w:before="0" w:after="0"/>
              <w:jc w:val="both"/>
              <w:rPr>
                <w:sz w:val="22"/>
                <w:sz w:val="22"/>
                <w:szCs w:val="22"/>
                <w:rFonts w:ascii="Calibri" w:hAnsi="Calibri" w:eastAsia="Calibri" w:cs=""/>
                <w:color w:val="00000A"/>
                <w:lang w:val="pt-BR" w:eastAsia="en-US" w:bidi="ar-SA"/>
              </w:rPr>
            </w:pPr>
            <w:r>
              <w:rPr/>
            </w:r>
            <w:r/>
          </w:p>
        </w:tc>
        <w:tc>
          <w:tcPr>
            <w:tcW w:w="6138" w:type="dxa"/>
            <w:tcBorders/>
            <w:shd w:color="auto" w:fill="auto" w:val="clear"/>
            <w:tcMar>
              <w:left w:w="-10" w:type="dxa"/>
            </w:tcMar>
          </w:tcPr>
          <w:p>
            <w:pPr>
              <w:pStyle w:val="Normal"/>
              <w:shd w:val="clear" w:color="000000" w:themeColor="" w:themeTint="" w:themeShade="" w:fill="FFFFFF" w:themeFill="" w:themeFillTint="" w:themeFillShade=""/>
              <w:spacing w:lineRule="auto" w:line="240" w:before="0" w:after="0"/>
              <w:jc w:val="both"/>
              <w:rPr>
                <w:sz w:val="22"/>
                <w:sz w:val="22"/>
                <w:szCs w:val="22"/>
                <w:rFonts w:ascii="Calibri" w:hAnsi="Calibri" w:eastAsia="Calibri" w:cs=""/>
                <w:color w:val="00000A"/>
                <w:lang w:val="pt-BR" w:eastAsia="en-US" w:bidi="ar-SA"/>
              </w:rPr>
            </w:pPr>
            <w:r>
              <w:rPr/>
            </w:r>
            <w:r/>
          </w:p>
        </w:tc>
      </w:tr>
      <w:tr>
        <w:trPr>
          <w:trHeight w:val="1379" w:hRule="atLeast"/>
        </w:trPr>
        <w:tc>
          <w:tcPr>
            <w:tcW w:w="2115" w:type="dxa"/>
            <w:tcBorders/>
            <w:shd w:color="auto" w:fill="auto" w:val="clear"/>
            <w:tcMar>
              <w:left w:w="-10" w:type="dxa"/>
            </w:tcMar>
          </w:tcPr>
          <w:p>
            <w:pPr>
              <w:pStyle w:val="Corpodetextorecuado"/>
              <w:spacing w:lineRule="auto" w:line="240" w:before="0" w:after="0"/>
              <w:ind w:hanging="0"/>
              <w:rPr>
                <w:sz w:val="22"/>
                <w:b/>
                <w:sz w:val="22"/>
                <w:b/>
                <w:szCs w:val="22"/>
                <w:bCs/>
                <w:rFonts w:ascii="Cambria" w:hAnsi="Cambria" w:eastAsia="" w:cs="" w:asciiTheme="majorHAnsi" w:cstheme="majorBidi" w:eastAsiaTheme="majorEastAsia" w:hAnsiTheme="majorHAnsi"/>
                <w:color w:val="00000A"/>
                <w:lang w:val="pt-BR" w:eastAsia="en-US" w:bidi="ar-SA"/>
              </w:rPr>
            </w:pPr>
            <w:r>
              <w:rPr>
                <w:rFonts w:eastAsia="" w:cs="" w:cstheme="majorBidi" w:eastAsiaTheme="majorEastAsia" w:ascii="Cambria" w:hAnsi="Cambria"/>
                <w:b/>
                <w:bCs/>
              </w:rPr>
            </w:r>
            <w:r/>
          </w:p>
        </w:tc>
        <w:tc>
          <w:tcPr>
            <w:tcW w:w="1469" w:type="dxa"/>
            <w:tcBorders/>
            <w:shd w:color="auto" w:fill="auto" w:val="clear"/>
            <w:tcMar>
              <w:left w:w="-10" w:type="dxa"/>
            </w:tcMar>
          </w:tcPr>
          <w:p>
            <w:pPr>
              <w:pStyle w:val="Corpodetextorecuado"/>
              <w:spacing w:lineRule="auto" w:line="240" w:before="0" w:after="0"/>
              <w:ind w:hanging="0"/>
              <w:rPr>
                <w:sz w:val="22"/>
                <w:sz w:val="22"/>
                <w:szCs w:val="22"/>
                <w:rFonts w:ascii="Bookman Old Style" w:hAnsi="Bookman Old Style" w:eastAsia="Calibri" w:cs="Bookman Old Style"/>
                <w:color w:val="00000A"/>
                <w:lang w:val="pt-BR" w:eastAsia="en-US" w:bidi="ar-SA"/>
              </w:rPr>
            </w:pPr>
            <w:r>
              <w:rPr/>
            </w:r>
            <w:r/>
          </w:p>
        </w:tc>
        <w:tc>
          <w:tcPr>
            <w:tcW w:w="1919" w:type="dxa"/>
            <w:tcBorders/>
            <w:shd w:color="auto" w:fill="auto" w:val="clear"/>
            <w:tcMar>
              <w:left w:w="-10" w:type="dxa"/>
            </w:tcMar>
          </w:tcPr>
          <w:p>
            <w:pPr>
              <w:pStyle w:val="Normal"/>
              <w:spacing w:lineRule="auto" w:line="240" w:before="0" w:after="0"/>
              <w:jc w:val="both"/>
              <w:rPr>
                <w:sz w:val="22"/>
                <w:sz w:val="22"/>
                <w:szCs w:val="22"/>
                <w:rFonts w:ascii="Calibri" w:hAnsi="Calibri" w:eastAsia="Calibri" w:cs=""/>
                <w:color w:val="00000A"/>
                <w:lang w:val="pt-BR" w:eastAsia="en-US" w:bidi="ar-SA"/>
              </w:rPr>
            </w:pPr>
            <w:r>
              <w:rPr/>
            </w:r>
            <w:r/>
          </w:p>
        </w:tc>
        <w:tc>
          <w:tcPr>
            <w:tcW w:w="3554" w:type="dxa"/>
            <w:tcBorders/>
            <w:shd w:color="auto" w:fill="auto" w:val="clear"/>
            <w:tcMar>
              <w:left w:w="-10" w:type="dxa"/>
            </w:tcMar>
          </w:tcPr>
          <w:p>
            <w:pPr>
              <w:pStyle w:val="Normal"/>
              <w:spacing w:lineRule="auto" w:line="240" w:before="0" w:after="0"/>
              <w:jc w:val="both"/>
              <w:rPr>
                <w:sz w:val="22"/>
                <w:sz w:val="22"/>
                <w:szCs w:val="22"/>
                <w:rFonts w:ascii="Calibri" w:hAnsi="Calibri" w:eastAsia="Calibri" w:cs=""/>
                <w:color w:val="00000A"/>
                <w:lang w:val="pt-BR" w:eastAsia="en-US" w:bidi="ar-SA"/>
              </w:rPr>
            </w:pPr>
            <w:r>
              <w:rPr/>
            </w:r>
            <w:r/>
          </w:p>
        </w:tc>
        <w:tc>
          <w:tcPr>
            <w:tcW w:w="6138" w:type="dxa"/>
            <w:tcBorders/>
            <w:shd w:color="auto" w:fill="auto" w:val="clear"/>
            <w:tcMar>
              <w:left w:w="-10" w:type="dxa"/>
            </w:tcMar>
          </w:tcPr>
          <w:p>
            <w:pPr>
              <w:pStyle w:val="Normal"/>
              <w:shd w:val="clear" w:color="000000" w:themeColor="" w:themeTint="" w:themeShade="" w:fill="FFFFFF" w:themeFill="" w:themeFillTint="" w:themeFillShade=""/>
              <w:spacing w:lineRule="auto" w:line="240" w:before="0" w:after="0"/>
              <w:jc w:val="both"/>
              <w:rPr>
                <w:sz w:val="22"/>
                <w:sz w:val="22"/>
                <w:szCs w:val="22"/>
                <w:rFonts w:ascii="Calibri" w:hAnsi="Calibri" w:eastAsia="Calibri" w:cs=""/>
                <w:color w:val="00000A"/>
                <w:lang w:val="pt-BR" w:eastAsia="en-US" w:bidi="ar-SA"/>
              </w:rPr>
            </w:pPr>
            <w:r>
              <w:rPr/>
            </w:r>
            <w:r/>
          </w:p>
        </w:tc>
      </w:tr>
    </w:tbl>
    <w:p>
      <w:pPr>
        <w:pStyle w:val="Normal"/>
        <w:widowControl/>
        <w:suppressAutoHyphens w:val="true"/>
        <w:bidi w:val="0"/>
        <w:spacing w:before="0" w:after="200"/>
        <w:jc w:val="left"/>
        <w:rPr>
          <w:sz w:val="22"/>
          <w:sz w:val="22"/>
          <w:szCs w:val="22"/>
          <w:rFonts w:ascii="Calibri" w:hAnsi="Calibri" w:eastAsia="Calibri" w:cs=""/>
          <w:color w:val="00000A"/>
          <w:lang w:val="pt-BR" w:eastAsia="en-US" w:bidi="ar-SA"/>
        </w:rPr>
      </w:pPr>
      <w:r>
        <w:rPr/>
      </w:r>
      <w:r/>
    </w:p>
    <w:sectPr>
      <w:type w:val="nextPage"/>
      <w:pgSz w:orient="landscape" w:w="16838" w:h="11906"/>
      <w:pgMar w:left="1417" w:right="1417" w:header="0" w:top="1701" w:footer="0" w:bottom="1701"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Bookman Old Style">
    <w:charset w:val="00"/>
    <w:family w:val="roman"/>
    <w:pitch w:val="variable"/>
  </w:font>
  <w:font w:name="Cambria">
    <w:charset w:val="00"/>
    <w:family w:val="roman"/>
    <w:pitch w:val="variable"/>
  </w:font>
</w:fonts>
</file>

<file path=word/settings.xml><?xml version="1.0" encoding="utf-8"?>
<w:settings xmlns:w="http://schemas.openxmlformats.org/wordprocessingml/2006/main">
  <w:zoom w:percent="10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spacing w:lineRule="auto" w:line="276"/>
      </w:pPr>
    </w:pPrDefault>
  </w:docDefaults>
  <w:latentStyles w:count="267" w:defQFormat="0" w:defUnhideWhenUsed="1" w:defSemiHidden="1" w:defUIPriority="99" w:defLockedState="0">
    <w:lsdException w:qFormat="1" w:semiHidden="0" w:unhideWhenUsed="0" w:uiPriority="0" w:name="Normal"/>
    <w:lsdException w:qFormat="1" w:semiHidden="0" w:unhideWhenUsed="0" w:uiPriority="9"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35" w:name="caption"/>
    <w:lsdException w:qFormat="1" w:semiHidden="0" w:unhideWhenUsed="0" w:uiPriority="10" w:name="Title"/>
    <w:lsdException w:uiPriority="1" w:name="Default Paragraph Font"/>
    <w:lsdException w:qFormat="1" w:semiHidden="0" w:unhideWhenUsed="0" w:uiPriority="11" w:name="Subtitle"/>
    <w:lsdException w:qFormat="1" w:semiHidden="0" w:unhideWhenUsed="0" w:uiPriority="22" w:name="Strong"/>
    <w:lsdException w:qFormat="1" w:semiHidden="0" w:unhideWhenUsed="0" w:uiPriority="20" w:name="Emphasis"/>
    <w:lsdException w:semiHidden="0" w:unhideWhenUsed="0" w:uiPriority="59" w:name="Table Grid"/>
    <w:lsdException w:unhideWhenUsed="0" w:name="Placeholder Text"/>
    <w:lsdException w:qFormat="1" w:semiHidden="0" w:unhideWhenUsed="0" w:uiPriority="1" w:name="No Spacing"/>
    <w:lsdException w:semiHidden="0" w:unhideWhenUsed="0" w:uiPriority="60" w:name="Light Shading"/>
    <w:lsdException w:semiHidden="0" w:unhideWhenUsed="0" w:uiPriority="61" w:name="Light List"/>
    <w:lsdException w:semiHidden="0" w:unhideWhenUsed="0" w:uiPriority="62" w:name="Light Grid"/>
    <w:lsdException w:semiHidden="0" w:unhideWhenUsed="0" w:uiPriority="63" w:name="Medium Shading 1"/>
    <w:lsdException w:semiHidden="0" w:unhideWhenUsed="0" w:uiPriority="64" w:name="Medium Shading 2"/>
    <w:lsdException w:semiHidden="0" w:unhideWhenUsed="0" w:uiPriority="65" w:name="Medium List 1"/>
    <w:lsdException w:semiHidden="0" w:unhideWhenUsed="0" w:uiPriority="66" w:name="Medium List 2"/>
    <w:lsdException w:semiHidden="0" w:unhideWhenUsed="0" w:uiPriority="67" w:name="Medium Grid 1"/>
    <w:lsdException w:semiHidden="0" w:unhideWhenUsed="0" w:uiPriority="68" w:name="Medium Grid 2"/>
    <w:lsdException w:semiHidden="0" w:unhideWhenUsed="0" w:uiPriority="69" w:name="Medium Grid 3"/>
    <w:lsdException w:semiHidden="0" w:unhideWhenUsed="0" w:uiPriority="70" w:name="Dark List"/>
    <w:lsdException w:semiHidden="0" w:unhideWhenUsed="0" w:uiPriority="71" w:name="Colorful Shading"/>
    <w:lsdException w:semiHidden="0" w:unhideWhenUsed="0" w:uiPriority="72" w:name="Colorful List"/>
    <w:lsdException w:semiHidden="0" w:unhideWhenUsed="0" w:uiPriority="73" w:name="Colorful Grid"/>
    <w:lsdException w:semiHidden="0" w:unhideWhenUsed="0" w:uiPriority="60" w:name="Light Shading Accent 1"/>
    <w:lsdException w:semiHidden="0" w:unhideWhenUsed="0" w:uiPriority="61" w:name="Light List Accent 1"/>
    <w:lsdException w:semiHidden="0" w:unhideWhenUsed="0" w:uiPriority="62" w:name="Light Grid Accent 1"/>
    <w:lsdException w:semiHidden="0" w:unhideWhenUsed="0" w:uiPriority="63" w:name="Medium Shading 1 Accent 1"/>
    <w:lsdException w:semiHidden="0" w:unhideWhenUsed="0" w:uiPriority="64" w:name="Medium Shading 2 Accent 1"/>
    <w:lsdException w:semiHidden="0" w:unhideWhenUsed="0" w:uiPriority="65" w:name="Medium List 1 Accent 1"/>
    <w:lsdException w:unhideWhenUsed="0" w:name="Revision"/>
    <w:lsdException w:qFormat="1" w:semiHidden="0" w:unhideWhenUsed="0" w:uiPriority="34" w:name="List Paragraph"/>
    <w:lsdException w:qFormat="1" w:semiHidden="0" w:unhideWhenUsed="0" w:uiPriority="29" w:name="Quote"/>
    <w:lsdException w:qFormat="1" w:semiHidden="0" w:unhideWhenUsed="0" w:uiPriority="30" w:name="Intense Quote"/>
    <w:lsdException w:semiHidden="0" w:unhideWhenUsed="0" w:uiPriority="66" w:name="Medium List 2 Accent 1"/>
    <w:lsdException w:semiHidden="0" w:unhideWhenUsed="0" w:uiPriority="67" w:name="Medium Grid 1 Accent 1"/>
    <w:lsdException w:semiHidden="0" w:unhideWhenUsed="0" w:uiPriority="68" w:name="Medium Grid 2 Accent 1"/>
    <w:lsdException w:semiHidden="0" w:unhideWhenUsed="0" w:uiPriority="69" w:name="Medium Grid 3 Accent 1"/>
    <w:lsdException w:semiHidden="0" w:unhideWhenUsed="0" w:uiPriority="70" w:name="Dark List Accent 1"/>
    <w:lsdException w:semiHidden="0" w:unhideWhenUsed="0" w:uiPriority="71" w:name="Colorful Shading Accent 1"/>
    <w:lsdException w:semiHidden="0" w:unhideWhenUsed="0" w:uiPriority="72" w:name="Colorful List Accent 1"/>
    <w:lsdException w:semiHidden="0" w:unhideWhenUsed="0" w:uiPriority="73" w:name="Colorful Grid Accent 1"/>
    <w:lsdException w:semiHidden="0" w:unhideWhenUsed="0" w:uiPriority="60" w:name="Light Shading Accent 2"/>
    <w:lsdException w:semiHidden="0" w:unhideWhenUsed="0" w:uiPriority="61" w:name="Light List Accent 2"/>
    <w:lsdException w:semiHidden="0" w:unhideWhenUsed="0" w:uiPriority="62" w:name="Light Grid Accent 2"/>
    <w:lsdException w:semiHidden="0" w:unhideWhenUsed="0" w:uiPriority="63" w:name="Medium Shading 1 Accent 2"/>
    <w:lsdException w:semiHidden="0" w:unhideWhenUsed="0" w:uiPriority="64" w:name="Medium Shading 2 Accent 2"/>
    <w:lsdException w:semiHidden="0" w:unhideWhenUsed="0" w:uiPriority="65" w:name="Medium List 1 Accent 2"/>
    <w:lsdException w:semiHidden="0" w:unhideWhenUsed="0" w:uiPriority="66" w:name="Medium List 2 Accent 2"/>
    <w:lsdException w:semiHidden="0" w:unhideWhenUsed="0" w:uiPriority="67" w:name="Medium Grid 1 Accent 2"/>
    <w:lsdException w:semiHidden="0" w:unhideWhenUsed="0" w:uiPriority="68" w:name="Medium Grid 2 Accent 2"/>
    <w:lsdException w:semiHidden="0" w:unhideWhenUsed="0" w:uiPriority="69" w:name="Medium Grid 3 Accent 2"/>
    <w:lsdException w:semiHidden="0" w:unhideWhenUsed="0" w:uiPriority="70" w:name="Dark List Accent 2"/>
    <w:lsdException w:semiHidden="0" w:unhideWhenUsed="0" w:uiPriority="71" w:name="Colorful Shading Accent 2"/>
    <w:lsdException w:semiHidden="0" w:unhideWhenUsed="0" w:uiPriority="72" w:name="Colorful List Accent 2"/>
    <w:lsdException w:semiHidden="0" w:unhideWhenUsed="0" w:uiPriority="73" w:name="Colorful Grid Accent 2"/>
    <w:lsdException w:semiHidden="0" w:unhideWhenUsed="0" w:uiPriority="60" w:name="Light Shading Accent 3"/>
    <w:lsdException w:semiHidden="0" w:unhideWhenUsed="0" w:uiPriority="61" w:name="Light List Accent 3"/>
    <w:lsdException w:semiHidden="0" w:unhideWhenUsed="0" w:uiPriority="62" w:name="Light Grid Accent 3"/>
    <w:lsdException w:semiHidden="0" w:unhideWhenUsed="0" w:uiPriority="63" w:name="Medium Shading 1 Accent 3"/>
    <w:lsdException w:semiHidden="0" w:unhideWhenUsed="0" w:uiPriority="64" w:name="Medium Shading 2 Accent 3"/>
    <w:lsdException w:semiHidden="0" w:unhideWhenUsed="0" w:uiPriority="65" w:name="Medium List 1 Accent 3"/>
    <w:lsdException w:semiHidden="0" w:unhideWhenUsed="0" w:uiPriority="66" w:name="Medium List 2 Accent 3"/>
    <w:lsdException w:semiHidden="0" w:unhideWhenUsed="0" w:uiPriority="67" w:name="Medium Grid 1 Accent 3"/>
    <w:lsdException w:semiHidden="0" w:unhideWhenUsed="0" w:uiPriority="68" w:name="Medium Grid 2 Accent 3"/>
    <w:lsdException w:semiHidden="0" w:unhideWhenUsed="0" w:uiPriority="69" w:name="Medium Grid 3 Accent 3"/>
    <w:lsdException w:semiHidden="0" w:unhideWhenUsed="0" w:uiPriority="70" w:name="Dark List Accent 3"/>
    <w:lsdException w:semiHidden="0" w:unhideWhenUsed="0" w:uiPriority="71" w:name="Colorful Shading Accent 3"/>
    <w:lsdException w:semiHidden="0" w:unhideWhenUsed="0" w:uiPriority="72" w:name="Colorful List Accent 3"/>
    <w:lsdException w:semiHidden="0" w:unhideWhenUsed="0" w:uiPriority="73" w:name="Colorful Grid Accent 3"/>
    <w:lsdException w:semiHidden="0" w:unhideWhenUsed="0" w:uiPriority="60" w:name="Light Shading Accent 4"/>
    <w:lsdException w:semiHidden="0" w:unhideWhenUsed="0" w:uiPriority="61" w:name="Light List Accent 4"/>
    <w:lsdException w:semiHidden="0" w:unhideWhenUsed="0" w:uiPriority="62" w:name="Light Grid Accent 4"/>
    <w:lsdException w:semiHidden="0" w:unhideWhenUsed="0" w:uiPriority="63" w:name="Medium Shading 1 Accent 4"/>
    <w:lsdException w:semiHidden="0" w:unhideWhenUsed="0" w:uiPriority="64" w:name="Medium Shading 2 Accent 4"/>
    <w:lsdException w:semiHidden="0" w:unhideWhenUsed="0" w:uiPriority="65" w:name="Medium List 1 Accent 4"/>
    <w:lsdException w:semiHidden="0" w:unhideWhenUsed="0" w:uiPriority="66" w:name="Medium List 2 Accent 4"/>
    <w:lsdException w:semiHidden="0" w:unhideWhenUsed="0" w:uiPriority="67" w:name="Medium Grid 1 Accent 4"/>
    <w:lsdException w:semiHidden="0" w:unhideWhenUsed="0" w:uiPriority="68" w:name="Medium Grid 2 Accent 4"/>
    <w:lsdException w:semiHidden="0" w:unhideWhenUsed="0" w:uiPriority="69" w:name="Medium Grid 3 Accent 4"/>
    <w:lsdException w:semiHidden="0" w:unhideWhenUsed="0" w:uiPriority="70" w:name="Dark List Accent 4"/>
    <w:lsdException w:semiHidden="0" w:unhideWhenUsed="0" w:uiPriority="71" w:name="Colorful Shading Accent 4"/>
    <w:lsdException w:semiHidden="0" w:unhideWhenUsed="0" w:uiPriority="72" w:name="Colorful List Accent 4"/>
    <w:lsdException w:semiHidden="0" w:unhideWhenUsed="0" w:uiPriority="73" w:name="Colorful Grid Accent 4"/>
    <w:lsdException w:semiHidden="0" w:unhideWhenUsed="0" w:uiPriority="60" w:name="Light Shading Accent 5"/>
    <w:lsdException w:semiHidden="0" w:unhideWhenUsed="0" w:uiPriority="61" w:name="Light List Accent 5"/>
    <w:lsdException w:semiHidden="0" w:unhideWhenUsed="0" w:uiPriority="62" w:name="Light Grid Accent 5"/>
    <w:lsdException w:semiHidden="0" w:unhideWhenUsed="0" w:uiPriority="63" w:name="Medium Shading 1 Accent 5"/>
    <w:lsdException w:semiHidden="0" w:unhideWhenUsed="0" w:uiPriority="64" w:name="Medium Shading 2 Accent 5"/>
    <w:lsdException w:semiHidden="0" w:unhideWhenUsed="0" w:uiPriority="65" w:name="Medium List 1 Accent 5"/>
    <w:lsdException w:semiHidden="0" w:unhideWhenUsed="0" w:uiPriority="66" w:name="Medium List 2 Accent 5"/>
    <w:lsdException w:semiHidden="0" w:unhideWhenUsed="0" w:uiPriority="67" w:name="Medium Grid 1 Accent 5"/>
    <w:lsdException w:semiHidden="0" w:unhideWhenUsed="0" w:uiPriority="68" w:name="Medium Grid 2 Accent 5"/>
    <w:lsdException w:semiHidden="0" w:unhideWhenUsed="0" w:uiPriority="69" w:name="Medium Grid 3 Accent 5"/>
    <w:lsdException w:semiHidden="0" w:unhideWhenUsed="0" w:uiPriority="70" w:name="Dark List Accent 5"/>
    <w:lsdException w:semiHidden="0" w:unhideWhenUsed="0" w:uiPriority="71" w:name="Colorful Shading Accent 5"/>
    <w:lsdException w:semiHidden="0" w:unhideWhenUsed="0" w:uiPriority="72" w:name="Colorful List Accent 5"/>
    <w:lsdException w:semiHidden="0" w:unhideWhenUsed="0" w:uiPriority="73" w:name="Colorful Grid Accent 5"/>
    <w:lsdException w:semiHidden="0" w:unhideWhenUsed="0" w:uiPriority="60" w:name="Light Shading Accent 6"/>
    <w:lsdException w:semiHidden="0" w:unhideWhenUsed="0" w:uiPriority="61" w:name="Light List Accent 6"/>
    <w:lsdException w:semiHidden="0" w:unhideWhenUsed="0" w:uiPriority="62" w:name="Light Grid Accent 6"/>
    <w:lsdException w:semiHidden="0" w:unhideWhenUsed="0" w:uiPriority="63" w:name="Medium Shading 1 Accent 6"/>
    <w:lsdException w:semiHidden="0" w:unhideWhenUsed="0" w:uiPriority="64" w:name="Medium Shading 2 Accent 6"/>
    <w:lsdException w:semiHidden="0" w:unhideWhenUsed="0" w:uiPriority="65" w:name="Medium List 1 Accent 6"/>
    <w:lsdException w:semiHidden="0" w:unhideWhenUsed="0" w:uiPriority="66" w:name="Medium List 2 Accent 6"/>
    <w:lsdException w:semiHidden="0" w:unhideWhenUsed="0" w:uiPriority="67" w:name="Medium Grid 1 Accent 6"/>
    <w:lsdException w:semiHidden="0" w:unhideWhenUsed="0" w:uiPriority="68" w:name="Medium Grid 2 Accent 6"/>
    <w:lsdException w:semiHidden="0" w:unhideWhenUsed="0" w:uiPriority="69" w:name="Medium Grid 3 Accent 6"/>
    <w:lsdException w:semiHidden="0" w:unhideWhenUsed="0" w:uiPriority="70" w:name="Dark List Accent 6"/>
    <w:lsdException w:semiHidden="0" w:unhideWhenUsed="0" w:uiPriority="71" w:name="Colorful Shading Accent 6"/>
    <w:lsdException w:semiHidden="0" w:unhideWhenUsed="0" w:uiPriority="72" w:name="Colorful List Accent 6"/>
    <w:lsdException w:semiHidden="0" w:unhideWhenUsed="0" w:uiPriority="73" w:name="Colorful Grid Accent 6"/>
    <w:lsdException w:qFormat="1" w:semiHidden="0" w:unhideWhenUsed="0" w:uiPriority="19" w:name="Subtle Emphasis"/>
    <w:lsdException w:qFormat="1" w:semiHidden="0" w:unhideWhenUsed="0" w:uiPriority="21" w:name="Intense Emphasis"/>
    <w:lsdException w:qFormat="1" w:semiHidden="0" w:unhideWhenUsed="0" w:uiPriority="31" w:name="Subtle Reference"/>
    <w:lsdException w:qFormat="1" w:semiHidden="0" w:unhideWhenUsed="0" w:uiPriority="32" w:name="Intense Reference"/>
    <w:lsdException w:qFormat="1" w:semiHidden="0" w:unhideWhenUsed="0" w:uiPriority="33" w:name="Book Title"/>
    <w:lsdException w:uiPriority="37" w:name="Bibliography"/>
    <w:lsdException w:qFormat="1" w:uiPriority="39" w:name="TOC Heading"/>
  </w:latentStyles>
  <w:style w:type="paragraph" w:styleId="Normal" w:default="1">
    <w:name w:val="Normal"/>
    <w:qFormat/>
    <w:pPr>
      <w:widowControl/>
      <w:suppressAutoHyphens w:val="true"/>
      <w:bidi w:val="0"/>
      <w:spacing w:lineRule="auto" w:line="276" w:before="0" w:after="200"/>
      <w:jc w:val="left"/>
    </w:pPr>
    <w:rPr>
      <w:rFonts w:ascii="Calibri" w:hAnsi="Calibri" w:eastAsia="Calibri" w:cs=""/>
      <w:color w:val="00000A"/>
      <w:sz w:val="22"/>
      <w:szCs w:val="22"/>
      <w:lang w:val="pt-BR" w:eastAsia="en-US" w:bidi="ar-SA"/>
    </w:rPr>
  </w:style>
  <w:style w:type="character" w:styleId="DefaultParagraphFont" w:default="1">
    <w:name w:val="Default Paragraph Font"/>
    <w:uiPriority w:val="1"/>
    <w:semiHidden/>
    <w:unhideWhenUsed/>
    <w:qFormat/>
    <w:rPr/>
  </w:style>
  <w:style w:type="character" w:styleId="TextodebaloChar" w:customStyle="1">
    <w:name w:val="Texto de balão Char"/>
    <w:basedOn w:val="DefaultParagraphFont"/>
    <w:link w:val="Textodebalo"/>
    <w:uiPriority w:val="99"/>
    <w:semiHidden/>
    <w:qFormat/>
    <w:rsid w:val="00a7525e"/>
    <w:rPr>
      <w:rFonts w:ascii="Tahoma" w:hAnsi="Tahoma" w:cs="Tahoma"/>
      <w:sz w:val="16"/>
      <w:szCs w:val="16"/>
    </w:rPr>
  </w:style>
  <w:style w:type="character" w:styleId="CabealhoChar" w:customStyle="1">
    <w:name w:val="Cabeçalho Char"/>
    <w:basedOn w:val="DefaultParagraphFont"/>
    <w:link w:val="Cabealho"/>
    <w:uiPriority w:val="99"/>
    <w:qFormat/>
    <w:rsid w:val="00800f58"/>
    <w:rPr/>
  </w:style>
  <w:style w:type="character" w:styleId="RodapChar" w:customStyle="1">
    <w:name w:val="Rodapé Char"/>
    <w:basedOn w:val="DefaultParagraphFont"/>
    <w:link w:val="Rodap"/>
    <w:uiPriority w:val="99"/>
    <w:qFormat/>
    <w:rsid w:val="00800f58"/>
    <w:rPr/>
  </w:style>
  <w:style w:type="character" w:styleId="Appleconvertedspace" w:customStyle="1">
    <w:name w:val="apple-converted-space"/>
    <w:basedOn w:val="DefaultParagraphFont"/>
    <w:qFormat/>
    <w:rsid w:val="00181769"/>
    <w:rPr/>
  </w:style>
  <w:style w:type="character" w:styleId="Nfaseforte" w:customStyle="1">
    <w:name w:val="Ênfase forte"/>
    <w:rPr>
      <w:b/>
      <w:bCs/>
    </w:rPr>
  </w:style>
  <w:style w:type="character" w:styleId="Nfase">
    <w:name w:val="Ênfase"/>
    <w:rPr>
      <w:i/>
      <w:iCs/>
    </w:rPr>
  </w:style>
  <w:style w:type="paragraph" w:styleId="Ttulo">
    <w:name w:val="Título"/>
    <w:basedOn w:val="Normal"/>
    <w:next w:val="Corpodotexto"/>
    <w:qFormat/>
    <w:pPr>
      <w:keepNext/>
      <w:spacing w:before="240" w:after="120"/>
    </w:pPr>
    <w:rPr>
      <w:rFonts w:ascii="Liberation Sans" w:hAnsi="Liberation Sans" w:eastAsia="Microsoft YaHei" w:cs="Mangal"/>
      <w:sz w:val="28"/>
      <w:szCs w:val="28"/>
    </w:rPr>
  </w:style>
  <w:style w:type="paragraph" w:styleId="Corpodotexto" w:customStyle="1">
    <w:name w:val="Corpo do texto"/>
    <w:basedOn w:val="Normal"/>
    <w:qFormat/>
    <w:pPr>
      <w:spacing w:lineRule="auto" w:line="288" w:before="0" w:after="140"/>
    </w:pPr>
    <w:rPr/>
  </w:style>
  <w:style w:type="paragraph" w:styleId="Lista">
    <w:name w:val="Lista"/>
    <w:basedOn w:val="Corpodotexto"/>
    <w:pPr>
      <w:widowControl w:val="false"/>
      <w:bidi w:val="0"/>
      <w:jc w:val="left"/>
    </w:pPr>
    <w:rPr>
      <w:rFonts w:cs="Mangal"/>
      <w:sz w:val="22"/>
    </w:rPr>
  </w:style>
  <w:style w:type="paragraph" w:styleId="Legenda">
    <w:name w:val="Legenda"/>
    <w:basedOn w:val="Normal"/>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tulododocumento" w:customStyle="1">
    <w:name w:val="Título do documento"/>
    <w:basedOn w:val="Normal"/>
    <w:pPr>
      <w:keepNext/>
      <w:spacing w:before="240" w:after="120"/>
    </w:pPr>
    <w:rPr>
      <w:rFonts w:ascii="Liberation Sans" w:hAnsi="Liberation Sans" w:eastAsia="Microsoft YaHei" w:cs="Mangal"/>
      <w:sz w:val="28"/>
      <w:szCs w:val="28"/>
    </w:rPr>
  </w:style>
  <w:style w:type="paragraph" w:styleId="Caption">
    <w:name w:val="caption"/>
    <w:basedOn w:val="Normal"/>
    <w:qFormat/>
    <w:pPr>
      <w:suppressLineNumbers/>
      <w:spacing w:before="120" w:after="120"/>
    </w:pPr>
    <w:rPr>
      <w:rFonts w:cs="Mangal"/>
      <w:i/>
      <w:iCs/>
      <w:sz w:val="24"/>
      <w:szCs w:val="24"/>
    </w:rPr>
  </w:style>
  <w:style w:type="paragraph" w:styleId="BalloonText">
    <w:name w:val="Balloon Text"/>
    <w:basedOn w:val="Normal"/>
    <w:link w:val="TextodebaloChar"/>
    <w:uiPriority w:val="99"/>
    <w:semiHidden/>
    <w:unhideWhenUsed/>
    <w:qFormat/>
    <w:rsid w:val="00a7525e"/>
    <w:pPr>
      <w:spacing w:lineRule="auto" w:line="240" w:before="0" w:after="0"/>
    </w:pPr>
    <w:rPr>
      <w:rFonts w:ascii="Tahoma" w:hAnsi="Tahoma" w:cs="Tahoma"/>
      <w:sz w:val="16"/>
      <w:szCs w:val="16"/>
    </w:rPr>
  </w:style>
  <w:style w:type="paragraph" w:styleId="Cabealho">
    <w:name w:val="Cabeçalho"/>
    <w:basedOn w:val="Normal"/>
    <w:link w:val="CabealhoChar"/>
    <w:uiPriority w:val="99"/>
    <w:unhideWhenUsed/>
    <w:rsid w:val="00800f58"/>
    <w:pPr>
      <w:tabs>
        <w:tab w:val="center" w:pos="4252" w:leader="none"/>
        <w:tab w:val="right" w:pos="8504" w:leader="none"/>
      </w:tabs>
      <w:spacing w:lineRule="auto" w:line="240" w:before="0" w:after="0"/>
    </w:pPr>
    <w:rPr/>
  </w:style>
  <w:style w:type="paragraph" w:styleId="Rodap">
    <w:name w:val="Rodapé"/>
    <w:basedOn w:val="Normal"/>
    <w:link w:val="RodapChar"/>
    <w:uiPriority w:val="99"/>
    <w:unhideWhenUsed/>
    <w:rsid w:val="00800f58"/>
    <w:pPr>
      <w:tabs>
        <w:tab w:val="center" w:pos="4252" w:leader="none"/>
        <w:tab w:val="right" w:pos="8504" w:leader="none"/>
      </w:tabs>
      <w:spacing w:lineRule="auto" w:line="240" w:before="0" w:after="0"/>
    </w:pPr>
    <w:rPr/>
  </w:style>
  <w:style w:type="paragraph" w:styleId="Contedodatabela" w:customStyle="1">
    <w:name w:val="Conteúdo da tabela"/>
    <w:basedOn w:val="Normal"/>
    <w:qFormat/>
    <w:pPr/>
    <w:rPr/>
  </w:style>
  <w:style w:type="paragraph" w:styleId="Ttulodetabela" w:customStyle="1">
    <w:name w:val="Título de tabela"/>
    <w:basedOn w:val="Contedodatabela"/>
    <w:qFormat/>
    <w:pPr/>
    <w:rPr/>
  </w:style>
  <w:style w:type="paragraph" w:styleId="Corpodetextorecuado" w:customStyle="1">
    <w:name w:val="Corpo de texto recuado"/>
    <w:basedOn w:val="Normal"/>
    <w:pPr>
      <w:suppressAutoHyphens w:val="false"/>
      <w:spacing w:lineRule="auto" w:line="360"/>
      <w:ind w:firstLine="2880"/>
      <w:jc w:val="both"/>
    </w:pPr>
    <w:rPr>
      <w:rFonts w:ascii="Bookman Old Style" w:hAnsi="Bookman Old Style" w:cs="Bookman Old Style"/>
    </w:rPr>
  </w:style>
  <w:style w:type="numbering" w:styleId="NoList" w:default="1">
    <w:name w:val="No List"/>
    <w:uiPriority w:val="99"/>
    <w:semiHidden/>
    <w:unhideWhenUsed/>
  </w:style>
  <w:style w:type="table" w:default="1" w:styleId="Tabelanormal">
    <w:name w:val="Normal Table"/>
    <w:uiPriority w:val="99"/>
    <w:semiHidden/>
    <w:unhideWhenUsed/>
    <w:tblPr>
      <w:tblInd w:type="dxa" w:w="0"/>
      <w:tblCellMar>
        <w:top w:w="0" w:type="dxa"/>
        <w:left w:w="108" w:type="dxa"/>
        <w:bottom w:w="0" w:type="dxa"/>
        <w:right w:w="108" w:type="dxa"/>
      </w:tblCellMar>
    </w:tblPr>
  </w:style>
  <w:style w:type="table" w:styleId="Tabelacomgrade">
    <w:name w:val="Table Grid"/>
    <w:basedOn w:val="Tabelanormal"/>
    <w:uiPriority w:val="59"/>
    <w:rsid w:val="00a7525e"/>
    <w:pPr>
      <w:spacing w:lineRule="auto" w:line="240"/>
    </w:pPr>
    <w:tblPr>
      <w:tblInd w:type="dxa" w:w="0"/>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CellMar>
        <w:top w:w="0" w:type="dxa"/>
        <w:left w:w="108" w:type="dxa"/>
        <w:bottom w:w="0" w:type="dxa"/>
        <w:right w:w="108" w:type="dxa"/>
      </w:tblCellMar>
    </w:tblPr>
  </w:style>
  <w:style w:type="table" w:styleId="ListaMdia1">
    <w:name w:val="Medium List 1"/>
    <w:basedOn w:val="Tabelanormal"/>
    <w:uiPriority w:val="65"/>
    <w:rsid w:val="00305a82"/>
    <w:pPr>
      <w:spacing w:lineRule="auto" w:line="240"/>
    </w:pPr>
    <w:rPr>
      <w:color w:themeColor="text1" w:val="000000"/>
    </w:rPr>
    <w:tblPr>
      <w:tblStyleRowBandSize w:val="1"/>
      <w:tblStyleColBandSize w:val="1"/>
      <w:tblInd w:type="dxa" w:w="0"/>
      <w:tblBorders>
        <w:top w:space="0" w:sz="8" w:themeColor="text1" w:color="000000" w:val="single"/>
        <w:bottom w:space="0" w:sz="8" w:themeColor="text1" w:color="000000" w:val="single"/>
      </w:tblBorders>
      <w:tblCellMar>
        <w:top w:w="0" w:type="dxa"/>
        <w:left w:w="108" w:type="dxa"/>
        <w:bottom w:w="0" w:type="dxa"/>
        <w:right w:w="108" w:type="dxa"/>
      </w:tblCellMar>
    </w:tblPr>
    <w:tblStylePr w:type="firstRow">
      <w:rPr>
        <w:rFonts w:eastAsiaTheme="majorEastAsia" w:asciiTheme="majorHAnsi" w:hAnsiTheme="majorHAnsi" w:cstheme="majorBidi"/>
      </w:rPr>
      <w:tblPr/>
      <w:tcPr>
        <w:tcBorders>
          <w:top w:val="nil"/>
          <w:bottom w:space="0" w:sz="8" w:themeColor="text1" w:color="000000" w:val="single"/>
        </w:tcBorders>
      </w:tcPr>
    </w:tblStylePr>
    <w:tblStylePr w:type="lastRow">
      <w:rPr>
        <w:b/>
        <w:bCs/>
        <w:color w:themeColor="text2" w:val="1F497D"/>
      </w:rPr>
      <w:tblPr/>
      <w:tcPr>
        <w:tcBorders>
          <w:top w:space="0" w:sz="8" w:themeColor="text1" w:color="000000" w:val="single"/>
          <w:bottom w:space="0" w:sz="8" w:themeColor="text1" w:color="000000" w:val="single"/>
        </w:tcBorders>
      </w:tcPr>
    </w:tblStylePr>
    <w:tblStylePr w:type="firstCol">
      <w:rPr>
        <w:b/>
        <w:bCs/>
      </w:rPr>
      <w:tblPr/>
    </w:tblStylePr>
    <w:tblStylePr w:type="lastCol">
      <w:rPr>
        <w:b/>
        <w:bCs/>
      </w:rPr>
      <w:tblPr/>
      <w:tcPr>
        <w:tcBorders>
          <w:top w:space="0" w:sz="8" w:themeColor="text1" w:color="000000" w:val="single"/>
          <w:bottom w:space="0" w:sz="8" w:themeColor="text1" w:color="000000" w:val="single"/>
        </w:tcBorders>
      </w:tcPr>
    </w:tblStylePr>
    <w:tblStylePr w:type="band1Vert">
      <w:tblPr/>
      <w:tcPr>
        <w:shd w:themeFillTint="3f" w:themeFill="text1" w:fill="C0C0C0" w:color="auto" w:val="clear"/>
      </w:tcPr>
    </w:tblStylePr>
    <w:tblStylePr w:type="band1Horz">
      <w:tblPr/>
      <w:tcPr>
        <w:shd w:themeFillTint="3f" w:themeFill="text1" w:fill="C0C0C0" w:color="auto" w:val="clear"/>
      </w:tcPr>
    </w:tblStylePr>
  </w:style>
  <w:style w:type="table" w:styleId="GradeClara">
    <w:name w:val="Light Grid"/>
    <w:basedOn w:val="Tabelanormal"/>
    <w:uiPriority w:val="62"/>
    <w:rsid w:val="00305a82"/>
    <w:pPr>
      <w:spacing w:lineRule="auto" w:line="240"/>
    </w:pPr>
    <w:tblPr>
      <w:tblStyleRowBandSize w:val="1"/>
      <w:tblStyleColBandSize w:val="1"/>
      <w:tblInd w:type="dxa" w:w="0"/>
      <w:tblBorders>
        <w:top w:space="0" w:sz="8" w:themeColor="text1" w:color="000000" w:val="single"/>
        <w:left w:space="0" w:sz="8" w:themeColor="text1" w:color="000000" w:val="single"/>
        <w:bottom w:space="0" w:sz="8" w:themeColor="text1" w:color="000000" w:val="single"/>
        <w:right w:space="0" w:sz="8" w:themeColor="text1" w:color="000000" w:val="single"/>
        <w:insideH w:space="0" w:sz="8" w:themeColor="text1" w:color="000000" w:val="single"/>
        <w:insideV w:space="0" w:sz="8" w:themeColor="text1" w:color="000000" w:val="single"/>
      </w:tblBorders>
      <w:tblCellMar>
        <w:top w:w="0" w:type="dxa"/>
        <w:left w:w="108" w:type="dxa"/>
        <w:bottom w:w="0" w:type="dxa"/>
        <w:right w:w="108" w:type="dxa"/>
      </w:tblCellMar>
    </w:tblPr>
    <w:tblStylePr w:type="firstRow">
      <w:pPr>
        <w:spacing w:lineRule="auto" w:line="240" w:after="0" w:before="0"/>
      </w:pPr>
      <w:rPr>
        <w:rFonts w:eastAsiaTheme="majorEastAsia" w:asciiTheme="majorHAnsi" w:hAnsiTheme="majorHAnsi" w:cstheme="majorBidi"/>
        <w:b/>
        <w:bCs/>
      </w:rPr>
      <w:tblPr/>
      <w:tcPr>
        <w:tcBorders>
          <w:top w:space="0" w:sz="8" w:themeColor="text1" w:color="000000" w:val="single"/>
          <w:left w:space="0" w:sz="8" w:themeColor="text1" w:color="000000" w:val="single"/>
          <w:bottom w:space="0" w:sz="18" w:themeColor="text1" w:color="000000" w:val="single"/>
          <w:right w:space="0" w:sz="8" w:themeColor="text1" w:color="000000" w:val="single"/>
          <w:insideH w:val="nil"/>
          <w:insideV w:space="0" w:sz="8" w:themeColor="text1" w:color="000000" w:val="single"/>
        </w:tcBorders>
      </w:tcPr>
    </w:tblStylePr>
    <w:tblStylePr w:type="lastRow">
      <w:pPr>
        <w:spacing w:lineRule="auto" w:line="240" w:after="0" w:before="0"/>
      </w:pPr>
      <w:rPr>
        <w:rFonts w:eastAsiaTheme="majorEastAsia" w:asciiTheme="majorHAnsi" w:hAnsiTheme="majorHAnsi" w:cstheme="majorBidi"/>
        <w:b/>
        <w:bCs/>
      </w:rPr>
      <w:tblPr/>
      <w:tcPr>
        <w:tcBorders>
          <w:top w:space="0" w:sz="6" w:themeColor="text1" w:color="000000" w:val="double"/>
          <w:left w:space="0" w:sz="8" w:themeColor="text1" w:color="000000" w:val="single"/>
          <w:bottom w:space="0" w:sz="8" w:themeColor="text1" w:color="000000" w:val="single"/>
          <w:right w:space="0" w:sz="8" w:themeColor="text1" w:color="000000" w:val="single"/>
          <w:insideH w:val="nil"/>
          <w:insideV w:space="0" w:sz="8" w:themeColor="text1" w:color="000000" w:val="single"/>
        </w:tcBorders>
      </w:tcPr>
    </w:tblStylePr>
    <w:tblStylePr w:type="firstCol">
      <w:rPr>
        <w:rFonts w:eastAsiaTheme="majorEastAsia" w:asciiTheme="majorHAnsi" w:hAnsiTheme="majorHAnsi" w:cstheme="majorBidi"/>
        <w:b/>
        <w:bCs/>
      </w:rPr>
      <w:tblPr/>
    </w:tblStylePr>
    <w:tblStylePr w:type="lastCol">
      <w:rPr>
        <w:rFonts w:eastAsiaTheme="majorEastAsia" w:asciiTheme="majorHAnsi" w:hAnsiTheme="majorHAnsi" w:cstheme="majorBidi"/>
        <w:b/>
        <w:bCs/>
      </w:rPr>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tblStylePr w:type="band1Vert">
      <w:tblPr/>
      <w:tcPr>
        <w:tcBorders>
          <w:top w:space="0" w:sz="8" w:themeColor="text1" w:color="000000" w:val="single"/>
          <w:left w:space="0" w:sz="8" w:themeColor="text1" w:color="000000" w:val="single"/>
          <w:bottom w:space="0" w:sz="8" w:themeColor="text1" w:color="000000" w:val="single"/>
          <w:right w:space="0" w:sz="8" w:themeColor="text1" w:color="000000" w:val="single"/>
        </w:tcBorders>
        <w:shd w:themeFillTint="3f" w:themeFill="text1" w:fill="C0C0C0" w:color="auto" w:val="clear"/>
      </w:tcPr>
    </w:tblStylePr>
    <w:tblStylePr w:type="band1Horz">
      <w:tblPr/>
      <w:tcPr>
        <w:tcBorders>
          <w:top w:space="0" w:sz="8" w:themeColor="text1" w:color="000000" w:val="single"/>
          <w:left w:space="0" w:sz="8" w:themeColor="text1" w:color="000000" w:val="single"/>
          <w:bottom w:space="0" w:sz="8" w:themeColor="text1" w:color="000000" w:val="single"/>
          <w:right w:space="0" w:sz="8" w:themeColor="text1" w:color="000000" w:val="single"/>
          <w:insideV w:space="0" w:sz="8" w:themeColor="text1" w:color="000000" w:val="single"/>
        </w:tcBorders>
        <w:shd w:themeFillTint="3f" w:themeFill="text1" w:fill="C0C0C0" w:color="auto" w:val="clear"/>
      </w:tcPr>
    </w:tblStylePr>
    <w:tblStylePr w:type="band2Horz">
      <w:tblPr/>
      <w:tcPr>
        <w:tcBorders>
          <w:top w:space="0" w:sz="8" w:themeColor="text1" w:color="000000" w:val="single"/>
          <w:left w:space="0" w:sz="8" w:themeColor="text1" w:color="000000" w:val="single"/>
          <w:bottom w:space="0" w:sz="8" w:themeColor="text1" w:color="000000" w:val="single"/>
          <w:right w:space="0" w:sz="8" w:themeColor="text1" w:color="000000" w:val="single"/>
          <w:insideV w:space="0" w:sz="8" w:themeColor="text1" w:color="000000" w:val="single"/>
        </w:tcBorders>
      </w:tcPr>
    </w:tblStylePr>
  </w:style>
  <w:style w:type="table" w:styleId="SombreamentoClaro">
    <w:name w:val="Light Shading"/>
    <w:basedOn w:val="Tabelanormal"/>
    <w:uiPriority w:val="60"/>
    <w:rsid w:val="00305a82"/>
    <w:pPr>
      <w:spacing w:lineRule="auto" w:line="240"/>
    </w:pPr>
    <w:rPr>
      <w:color w:themeShade="bf" w:themeColor="text1" w:val="000000"/>
    </w:rPr>
    <w:tblPr>
      <w:tblStyleRowBandSize w:val="1"/>
      <w:tblStyleColBandSize w:val="1"/>
      <w:tblInd w:type="dxa" w:w="0"/>
      <w:tblBorders>
        <w:top w:space="0" w:sz="8" w:themeColor="text1" w:color="000000" w:val="single"/>
        <w:bottom w:space="0" w:sz="8" w:themeColor="text1" w:color="000000" w:val="single"/>
      </w:tblBorders>
      <w:tblCellMar>
        <w:top w:w="0" w:type="dxa"/>
        <w:left w:w="108" w:type="dxa"/>
        <w:bottom w:w="0" w:type="dxa"/>
        <w:right w:w="108" w:type="dxa"/>
      </w:tblCellMar>
    </w:tblPr>
    <w:tblStylePr w:type="firstRow">
      <w:pPr>
        <w:spacing w:lineRule="auto" w:line="240" w:after="0" w:before="0"/>
      </w:pPr>
      <w:rPr>
        <w:b/>
        <w:bCs/>
      </w:rPr>
      <w:tblPr/>
      <w:tcPr>
        <w:tcBorders>
          <w:top w:space="0" w:sz="8" w:themeColor="text1" w:color="000000" w:val="single"/>
          <w:left w:val="nil"/>
          <w:bottom w:space="0" w:sz="8" w:themeColor="text1" w:color="000000" w:val="single"/>
          <w:right w:val="nil"/>
          <w:insideH w:val="nil"/>
          <w:insideV w:val="nil"/>
        </w:tcBorders>
      </w:tcPr>
    </w:tblStylePr>
    <w:tblStylePr w:type="lastRow">
      <w:pPr>
        <w:spacing w:lineRule="auto" w:line="240" w:after="0" w:before="0"/>
      </w:pPr>
      <w:rPr>
        <w:b/>
        <w:bCs/>
      </w:rPr>
      <w:tblPr/>
      <w:tcPr>
        <w:tcBorders>
          <w:top w:space="0" w:sz="8" w:themeColor="text1" w:color="000000" w:val="single"/>
          <w:left w:val="nil"/>
          <w:bottom w:space="0" w:sz="8" w:themeColor="text1" w:color="000000" w:val="single"/>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themeFillTint="3f" w:themeFill="text1" w:fill="C0C0C0" w:color="auto" w:val="clear"/>
      </w:tcPr>
    </w:tblStylePr>
    <w:tblStylePr w:type="band1Horz">
      <w:tblPr/>
      <w:tcPr>
        <w:tcBorders>
          <w:left w:val="nil"/>
          <w:right w:val="nil"/>
          <w:insideH w:val="nil"/>
          <w:insideV w:val="nil"/>
        </w:tcBorders>
        <w:shd w:themeFillTint="3f" w:themeFill="text1" w:fill="C0C0C0" w:color="auto" w:val="clear"/>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01F1AA-CCAA-4692-B4A8-2FA51C9CF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Application>LibreOffice/4.3.7.2$Windows_x86 LibreOffice_project/8a35821d8636a03b8bf4e15b48f59794652c68ba</Application>
  <Paragraphs>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2015-04-30T18:32:00Z</dcterms:created>
  <dc:creator>JHENIFER ALCANTARA BAPTISTA</dc:creator>
  <dc:language>pt-BR</dc:language>
  <cp:lastPrinted>2017-03-27T13:35:00Z</cp:lastPrinted>
  <dcterms:modified xsi:type="dcterms:W3CDTF">2017-03-27T16:44:08Z</dcterms:modified>
  <cp:revision>102</cp:revision>
</cp:coreProperties>
</file>